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9CFC7" w14:textId="7ABBBD35" w:rsidR="00CD48F8" w:rsidRPr="00F33DB1" w:rsidRDefault="00415D80" w:rsidP="00CD48F8">
      <w:pPr>
        <w:jc w:val="center"/>
        <w:rPr>
          <w:rFonts w:cs="Times New Roman"/>
          <w:b/>
          <w:color w:val="C00000"/>
          <w:sz w:val="24"/>
          <w:szCs w:val="24"/>
        </w:rPr>
      </w:pPr>
      <w:r>
        <w:rPr>
          <w:rFonts w:cs="Times New Roman"/>
          <w:b/>
          <w:color w:val="C00000"/>
          <w:sz w:val="24"/>
          <w:szCs w:val="24"/>
        </w:rPr>
        <w:t xml:space="preserve">SMART-IRB </w:t>
      </w:r>
      <w:r w:rsidR="003D2CD0">
        <w:rPr>
          <w:rFonts w:cs="Times New Roman"/>
          <w:b/>
          <w:color w:val="C00000"/>
          <w:sz w:val="24"/>
          <w:szCs w:val="24"/>
        </w:rPr>
        <w:t>SINGLE IRB REVIEW GRANTS LANGUAGE</w:t>
      </w:r>
    </w:p>
    <w:p w14:paraId="1E3BF021" w14:textId="3E23454F" w:rsidR="00CD48F8" w:rsidRPr="00EC7707" w:rsidRDefault="00CD48F8" w:rsidP="00CD48F8">
      <w:pPr>
        <w:rPr>
          <w:rFonts w:cs="Times New Roman"/>
        </w:rPr>
      </w:pPr>
      <w:r w:rsidRPr="00EC7707">
        <w:rPr>
          <w:rFonts w:cs="Times New Roman"/>
        </w:rPr>
        <w:t xml:space="preserve">This project will use the </w:t>
      </w:r>
      <w:r w:rsidRPr="00EC7707">
        <w:t xml:space="preserve">SMART IRB Master Common Reciprocal Institutional Review Board Authorization Agreement (SMART IRB Agreement) </w:t>
      </w:r>
      <w:r w:rsidRPr="00EC7707">
        <w:rPr>
          <w:rFonts w:cs="Times New Roman"/>
        </w:rPr>
        <w:t>to support single IRB review [</w:t>
      </w:r>
      <w:r w:rsidRPr="00EC7707">
        <w:rPr>
          <w:rFonts w:cs="Times New Roman"/>
          <w:shd w:val="clear" w:color="auto" w:fill="BFBFBF" w:themeFill="background1" w:themeFillShade="BF"/>
        </w:rPr>
        <w:t xml:space="preserve">in compliance with NIH </w:t>
      </w:r>
      <w:hyperlink r:id="rId7" w:tgtFrame="_blank" w:history="1">
        <w:r w:rsidRPr="00EC7707">
          <w:rPr>
            <w:shd w:val="clear" w:color="auto" w:fill="BFBFBF" w:themeFill="background1" w:themeFillShade="BF"/>
          </w:rPr>
          <w:t>Policy on the Use of a Single Institutional Review Board for Multi-Site Research</w:t>
        </w:r>
      </w:hyperlink>
      <w:r w:rsidRPr="00EC7707">
        <w:rPr>
          <w:rFonts w:cs="Times New Roman"/>
          <w:shd w:val="clear" w:color="auto" w:fill="BFBFBF" w:themeFill="background1" w:themeFillShade="BF"/>
        </w:rPr>
        <w:t>.]</w:t>
      </w:r>
      <w:r w:rsidRPr="00EC7707">
        <w:rPr>
          <w:rFonts w:cs="Times New Roman"/>
        </w:rPr>
        <w:t xml:space="preserve"> Development of the </w:t>
      </w:r>
      <w:r w:rsidRPr="00EC7707">
        <w:t xml:space="preserve">SMART IRB Agreement </w:t>
      </w:r>
      <w:r w:rsidRPr="00EC7707">
        <w:rPr>
          <w:rFonts w:cs="Times New Roman"/>
        </w:rPr>
        <w:t>was funded by the National Center for Advancing Translational Sciences (“NCATS”) at the National Institutes of Health (NIH) to be responsive to and serve as a roadmap for implementing [</w:t>
      </w:r>
      <w:r w:rsidRPr="00EC7707">
        <w:rPr>
          <w:rFonts w:cs="Times New Roman"/>
          <w:shd w:val="clear" w:color="auto" w:fill="BFBFBF" w:themeFill="background1" w:themeFillShade="BF"/>
        </w:rPr>
        <w:t>single IRB review</w:t>
      </w:r>
      <w:r w:rsidRPr="00EC7707">
        <w:rPr>
          <w:rFonts w:cs="Times New Roman"/>
        </w:rPr>
        <w:t xml:space="preserve"> </w:t>
      </w:r>
      <w:r w:rsidRPr="00EC7707">
        <w:rPr>
          <w:rFonts w:cs="Times New Roman"/>
          <w:i/>
        </w:rPr>
        <w:t>or</w:t>
      </w:r>
      <w:r w:rsidRPr="00EC7707">
        <w:rPr>
          <w:rFonts w:cs="Times New Roman"/>
        </w:rPr>
        <w:t xml:space="preserve"> </w:t>
      </w:r>
      <w:r w:rsidRPr="00EC7707">
        <w:rPr>
          <w:rFonts w:cs="Times New Roman"/>
          <w:shd w:val="clear" w:color="auto" w:fill="BFBFBF" w:themeFill="background1" w:themeFillShade="BF"/>
        </w:rPr>
        <w:t>the NIH sIRB policy</w:t>
      </w:r>
      <w:r w:rsidRPr="00EC7707">
        <w:rPr>
          <w:rFonts w:cs="Times New Roman"/>
        </w:rPr>
        <w:t>]. SMART IRB streamlines and advances collaboration by establishing a common IRB authorization agreement and standardizing the roles and responsibilities of all parties involved in the review and conduct of multisite research.  Further, the SMART IRB Agreement outlines the responsibilities of all Participating Institutions, the Reviewing IRB, and Relying Institutions, in addition to detailing the communication plan between the Reviewing IRB and Relying Institutions.</w:t>
      </w:r>
    </w:p>
    <w:p w14:paraId="1F86A266" w14:textId="6A26B5C6" w:rsidR="00CD48F8" w:rsidRPr="00EC7707" w:rsidRDefault="00CD48F8" w:rsidP="00CD48F8">
      <w:pPr>
        <w:shd w:val="clear" w:color="auto" w:fill="BFBFBF" w:themeFill="background1" w:themeFillShade="BF"/>
        <w:rPr>
          <w:rFonts w:cs="Times New Roman"/>
        </w:rPr>
      </w:pPr>
      <w:r w:rsidRPr="00EC7707">
        <w:rPr>
          <w:rFonts w:cs="Times New Roman"/>
        </w:rPr>
        <w:t xml:space="preserve">[Include one of the following options below.] </w:t>
      </w:r>
    </w:p>
    <w:p w14:paraId="24D139BB" w14:textId="57BC937D" w:rsidR="00CD48F8" w:rsidRPr="00EC7707" w:rsidRDefault="00CD48F8" w:rsidP="00CD48F8">
      <w:pPr>
        <w:pBdr>
          <w:top w:val="single" w:sz="4" w:space="1" w:color="auto"/>
          <w:left w:val="single" w:sz="4" w:space="4" w:color="auto"/>
          <w:bottom w:val="single" w:sz="4" w:space="1" w:color="auto"/>
          <w:right w:val="single" w:sz="4" w:space="4" w:color="auto"/>
        </w:pBdr>
        <w:rPr>
          <w:rFonts w:cs="Times New Roman"/>
        </w:rPr>
      </w:pPr>
      <w:r w:rsidRPr="00EC7707">
        <w:rPr>
          <w:rFonts w:cs="Times New Roman"/>
          <w:shd w:val="clear" w:color="auto" w:fill="FFFFFF" w:themeFill="background1"/>
        </w:rPr>
        <w:t>[</w:t>
      </w:r>
      <w:r w:rsidRPr="00EC7707">
        <w:rPr>
          <w:rFonts w:cs="Times New Roman"/>
          <w:shd w:val="clear" w:color="auto" w:fill="BFBFBF" w:themeFill="background1" w:themeFillShade="BF"/>
        </w:rPr>
        <w:t>OPTION 1</w:t>
      </w:r>
      <w:r w:rsidRPr="00EC7707">
        <w:rPr>
          <w:rFonts w:cs="Times New Roman"/>
          <w:shd w:val="clear" w:color="auto" w:fill="FFFFFF" w:themeFill="background1"/>
        </w:rPr>
        <w:t>]</w:t>
      </w:r>
      <w:r w:rsidRPr="00EC7707">
        <w:rPr>
          <w:rFonts w:cs="Times New Roman"/>
        </w:rPr>
        <w:t xml:space="preserve"> Each engaged institution has joined SMART IRB by signing a Joinder Agreement to the master SMART IRB Agreement, thus avoiding the need for protracted negotiations about reliance details. [</w:t>
      </w:r>
      <w:r w:rsidRPr="00EC7707">
        <w:rPr>
          <w:rFonts w:cs="Times New Roman"/>
          <w:shd w:val="clear" w:color="auto" w:fill="BFBFBF" w:themeFill="background1" w:themeFillShade="BF"/>
        </w:rPr>
        <w:t>xx</w:t>
      </w:r>
      <w:r w:rsidRPr="00EC7707">
        <w:rPr>
          <w:rFonts w:cs="Times New Roman"/>
        </w:rPr>
        <w:t>] IRB has agreed to serve as Reviewing IRB, and the following Relying Institutions, have agreed to cede review as noted in the letters of support: [</w:t>
      </w:r>
      <w:r w:rsidRPr="00EC7707">
        <w:rPr>
          <w:rFonts w:cs="Times New Roman"/>
          <w:shd w:val="clear" w:color="auto" w:fill="BFBFBF" w:themeFill="background1" w:themeFillShade="BF"/>
        </w:rPr>
        <w:t>list of sites</w:t>
      </w:r>
      <w:r w:rsidRPr="00EC7707">
        <w:rPr>
          <w:rFonts w:cs="Times New Roman"/>
        </w:rPr>
        <w:t>]</w:t>
      </w:r>
    </w:p>
    <w:p w14:paraId="6AC9C30A" w14:textId="787303F7" w:rsidR="00CD48F8" w:rsidRPr="00EC7707" w:rsidRDefault="00CD48F8" w:rsidP="00CD48F8">
      <w:pPr>
        <w:pBdr>
          <w:top w:val="single" w:sz="4" w:space="1" w:color="auto"/>
          <w:left w:val="single" w:sz="4" w:space="4" w:color="auto"/>
          <w:bottom w:val="single" w:sz="4" w:space="1" w:color="auto"/>
          <w:right w:val="single" w:sz="4" w:space="4" w:color="auto"/>
        </w:pBdr>
        <w:rPr>
          <w:rFonts w:cs="Times New Roman"/>
        </w:rPr>
      </w:pPr>
      <w:r w:rsidRPr="00EC7707">
        <w:rPr>
          <w:rFonts w:cs="Times New Roman"/>
        </w:rPr>
        <w:t>[</w:t>
      </w:r>
      <w:r w:rsidRPr="00EC7707">
        <w:rPr>
          <w:rFonts w:cs="Times New Roman"/>
          <w:highlight w:val="darkGray"/>
        </w:rPr>
        <w:t>OPTION 2</w:t>
      </w:r>
      <w:r w:rsidRPr="00EC7707">
        <w:rPr>
          <w:rFonts w:cs="Times New Roman"/>
        </w:rPr>
        <w:t>] To date approximately [</w:t>
      </w:r>
      <w:r w:rsidRPr="00EC7707">
        <w:rPr>
          <w:rFonts w:cs="Times New Roman"/>
          <w:highlight w:val="darkGray"/>
        </w:rPr>
        <w:t>xx</w:t>
      </w:r>
      <w:r w:rsidRPr="00EC7707">
        <w:rPr>
          <w:rFonts w:cs="Times New Roman"/>
        </w:rPr>
        <w:t>] of the [</w:t>
      </w:r>
      <w:r w:rsidRPr="00EC7707">
        <w:rPr>
          <w:rFonts w:cs="Times New Roman"/>
          <w:highlight w:val="darkGray"/>
        </w:rPr>
        <w:t>xx</w:t>
      </w:r>
      <w:r w:rsidRPr="00EC7707">
        <w:rPr>
          <w:rFonts w:cs="Times New Roman"/>
        </w:rPr>
        <w:t>] planned participating sites already have signed onto the SMART IRB Agreement through the joinder process. It is anticipated that all participating sites will be signatories to the SMART IRB Agreement prior to the planned award date.</w:t>
      </w:r>
    </w:p>
    <w:p w14:paraId="1E6C75F0" w14:textId="41F54DAE" w:rsidR="0018180A" w:rsidRDefault="00CD48F8" w:rsidP="0018180A">
      <w:pPr>
        <w:pBdr>
          <w:top w:val="single" w:sz="4" w:space="1" w:color="auto"/>
          <w:left w:val="single" w:sz="4" w:space="4" w:color="auto"/>
          <w:bottom w:val="single" w:sz="4" w:space="1" w:color="auto"/>
          <w:right w:val="single" w:sz="4" w:space="4" w:color="auto"/>
        </w:pBdr>
        <w:rPr>
          <w:rFonts w:cs="Times New Roman"/>
        </w:rPr>
      </w:pPr>
      <w:r w:rsidRPr="00EC7707">
        <w:rPr>
          <w:rFonts w:cs="Times New Roman"/>
          <w:shd w:val="clear" w:color="auto" w:fill="FFFFFF" w:themeFill="background1"/>
        </w:rPr>
        <w:t>[</w:t>
      </w:r>
      <w:r w:rsidRPr="00EC7707">
        <w:rPr>
          <w:rFonts w:cs="Times New Roman"/>
          <w:shd w:val="clear" w:color="auto" w:fill="BFBFBF" w:themeFill="background1" w:themeFillShade="BF"/>
        </w:rPr>
        <w:t>OPTION 3</w:t>
      </w:r>
      <w:r w:rsidRPr="00EC7707">
        <w:rPr>
          <w:rFonts w:cs="Times New Roman"/>
          <w:shd w:val="clear" w:color="auto" w:fill="FFFFFF" w:themeFill="background1"/>
        </w:rPr>
        <w:t>] [</w:t>
      </w:r>
      <w:r w:rsidRPr="00EC7707">
        <w:rPr>
          <w:rFonts w:cs="Times New Roman"/>
          <w:shd w:val="clear" w:color="auto" w:fill="BFBFBF" w:themeFill="background1" w:themeFillShade="BF"/>
        </w:rPr>
        <w:t>X, Y and Z</w:t>
      </w:r>
      <w:r w:rsidRPr="00EC7707">
        <w:rPr>
          <w:rFonts w:cs="Times New Roman"/>
        </w:rPr>
        <w:t xml:space="preserve">] have each joined SMART IRB by signing a Joinder Agreement to the master SMART IRB Agreement. Use of the SMART IRB Agreement helps reduce the need to negotiate between institutions about reliance details. The other participating institutions have been contacted with a request to join SMART IRB as we await notice of award.  </w:t>
      </w:r>
    </w:p>
    <w:p w14:paraId="74AA87ED" w14:textId="2D804EF8" w:rsidR="00CD48F8" w:rsidRPr="00EC7707" w:rsidRDefault="00CD48F8" w:rsidP="00CD48F8">
      <w:pPr>
        <w:rPr>
          <w:rFonts w:cs="Times New Roman"/>
        </w:rPr>
      </w:pPr>
      <w:r w:rsidRPr="00EC7707">
        <w:rPr>
          <w:rFonts w:cs="Times New Roman"/>
        </w:rPr>
        <w:t xml:space="preserve">The sites have agreed that IRB review, regulatory oversight, and roles and responsibilities of the parties will be governed by the SMART IRB Agreement </w:t>
      </w:r>
      <w:r w:rsidRPr="003D2CD0">
        <w:rPr>
          <w:rFonts w:cs="Times New Roman"/>
        </w:rPr>
        <w:t>and</w:t>
      </w:r>
      <w:r w:rsidR="003D2CD0">
        <w:rPr>
          <w:rFonts w:cs="Times New Roman"/>
        </w:rPr>
        <w:t xml:space="preserve"> the </w:t>
      </w:r>
      <w:hyperlink r:id="rId8" w:history="1">
        <w:r w:rsidR="003D2CD0" w:rsidRPr="003D2CD0">
          <w:rPr>
            <w:rStyle w:val="Hyperlink"/>
            <w:rFonts w:cs="Times New Roman"/>
          </w:rPr>
          <w:t>SMART-IRB Standard Operating Procedures</w:t>
        </w:r>
      </w:hyperlink>
      <w:r w:rsidR="003D2CD0">
        <w:rPr>
          <w:rFonts w:cs="Times New Roman"/>
        </w:rPr>
        <w:t xml:space="preserve"> throughout the life of the project.</w:t>
      </w:r>
      <w:r w:rsidR="001C7C77">
        <w:rPr>
          <w:rFonts w:cs="Times New Roman"/>
        </w:rPr>
        <w:t xml:space="preserve"> </w:t>
      </w:r>
      <w:r w:rsidRPr="00EC7707">
        <w:rPr>
          <w:rFonts w:cs="Times New Roman"/>
        </w:rPr>
        <w:t xml:space="preserve">In joining SMART IRB, each site has designated a Point of Contact (POC) to provide the Reviewing IRB with knowledge about local context and facilitate coordination among the sites. </w:t>
      </w:r>
    </w:p>
    <w:p w14:paraId="6381211A" w14:textId="2713A377" w:rsidR="00CD48F8" w:rsidRPr="00EC7707" w:rsidRDefault="00CD48F8" w:rsidP="00CD48F8">
      <w:pPr>
        <w:rPr>
          <w:rFonts w:cs="Times New Roman"/>
        </w:rPr>
      </w:pPr>
      <w:r w:rsidRPr="00EC7707">
        <w:rPr>
          <w:rFonts w:cs="Times New Roman"/>
        </w:rPr>
        <w:t>In accordance with the SMART IRB Agreement and SOPs:</w:t>
      </w:r>
    </w:p>
    <w:p w14:paraId="6BDFC19A" w14:textId="77777777" w:rsidR="00CD48F8" w:rsidRPr="00EC7707" w:rsidRDefault="00CD48F8" w:rsidP="00CD48F8">
      <w:pPr>
        <w:pStyle w:val="ListParagraph"/>
        <w:numPr>
          <w:ilvl w:val="0"/>
          <w:numId w:val="5"/>
        </w:numPr>
        <w:spacing w:after="0" w:line="240" w:lineRule="auto"/>
        <w:rPr>
          <w:rFonts w:asciiTheme="minorHAnsi" w:hAnsiTheme="minorHAnsi"/>
        </w:rPr>
      </w:pPr>
      <w:r w:rsidRPr="00EC7707">
        <w:rPr>
          <w:rFonts w:asciiTheme="minorHAnsi" w:hAnsiTheme="minorHAnsi"/>
        </w:rPr>
        <w:t>[</w:t>
      </w:r>
      <w:r w:rsidRPr="00EC7707">
        <w:rPr>
          <w:rFonts w:asciiTheme="minorHAnsi" w:hAnsiTheme="minorHAnsi"/>
          <w:shd w:val="clear" w:color="auto" w:fill="BFBFBF" w:themeFill="background1" w:themeFillShade="BF"/>
        </w:rPr>
        <w:t>Name</w:t>
      </w:r>
      <w:r w:rsidRPr="00EC7707">
        <w:rPr>
          <w:rFonts w:asciiTheme="minorHAnsi" w:hAnsiTheme="minorHAnsi"/>
        </w:rPr>
        <w:t>] will serve as the Overall PI, and</w:t>
      </w:r>
    </w:p>
    <w:p w14:paraId="02132503" w14:textId="77777777" w:rsidR="00CD48F8" w:rsidRPr="00EC7707" w:rsidRDefault="00CD48F8" w:rsidP="00CD48F8">
      <w:pPr>
        <w:pStyle w:val="ListParagraph"/>
        <w:numPr>
          <w:ilvl w:val="0"/>
          <w:numId w:val="5"/>
        </w:numPr>
        <w:spacing w:after="0" w:line="240" w:lineRule="auto"/>
        <w:rPr>
          <w:rFonts w:asciiTheme="minorHAnsi" w:hAnsiTheme="minorHAnsi"/>
        </w:rPr>
      </w:pPr>
      <w:r w:rsidRPr="00EC7707">
        <w:rPr>
          <w:rFonts w:asciiTheme="minorHAnsi" w:hAnsiTheme="minorHAnsi"/>
        </w:rPr>
        <w:t>[</w:t>
      </w:r>
      <w:r w:rsidRPr="00EC7707">
        <w:rPr>
          <w:rFonts w:asciiTheme="minorHAnsi" w:hAnsiTheme="minorHAnsi"/>
          <w:shd w:val="clear" w:color="auto" w:fill="BFBFBF" w:themeFill="background1" w:themeFillShade="BF"/>
        </w:rPr>
        <w:t>Name</w:t>
      </w:r>
      <w:r w:rsidRPr="00EC7707">
        <w:rPr>
          <w:rFonts w:asciiTheme="minorHAnsi" w:hAnsiTheme="minorHAnsi"/>
        </w:rPr>
        <w:t>], [</w:t>
      </w:r>
      <w:r w:rsidRPr="00EC7707">
        <w:rPr>
          <w:rFonts w:asciiTheme="minorHAnsi" w:hAnsiTheme="minorHAnsi"/>
          <w:shd w:val="clear" w:color="auto" w:fill="BFBFBF" w:themeFill="background1" w:themeFillShade="BF"/>
        </w:rPr>
        <w:t>role</w:t>
      </w:r>
      <w:r w:rsidRPr="00EC7707">
        <w:rPr>
          <w:rFonts w:asciiTheme="minorHAnsi" w:hAnsiTheme="minorHAnsi"/>
        </w:rPr>
        <w:t>] at [</w:t>
      </w:r>
      <w:r w:rsidRPr="00EC7707">
        <w:rPr>
          <w:rFonts w:asciiTheme="minorHAnsi" w:hAnsiTheme="minorHAnsi"/>
          <w:shd w:val="clear" w:color="auto" w:fill="BFBFBF" w:themeFill="background1" w:themeFillShade="BF"/>
        </w:rPr>
        <w:t>lead site</w:t>
      </w:r>
      <w:r w:rsidRPr="00EC7707">
        <w:rPr>
          <w:rFonts w:asciiTheme="minorHAnsi" w:hAnsiTheme="minorHAnsi"/>
        </w:rPr>
        <w:t>], will serve as the primary contact on the Lead Study Team, and will distribute the results of IRB reviews and manage ongoing communications across site study teams.</w:t>
      </w:r>
    </w:p>
    <w:p w14:paraId="42FD0F4C" w14:textId="3A965E6B" w:rsidR="00CD48F8" w:rsidRDefault="00CD48F8" w:rsidP="00CD48F8">
      <w:pPr>
        <w:pStyle w:val="ListParagraph"/>
        <w:numPr>
          <w:ilvl w:val="0"/>
          <w:numId w:val="5"/>
        </w:numPr>
        <w:spacing w:after="0" w:line="240" w:lineRule="auto"/>
        <w:rPr>
          <w:rFonts w:asciiTheme="minorHAnsi" w:hAnsiTheme="minorHAnsi"/>
        </w:rPr>
      </w:pPr>
      <w:r w:rsidRPr="00EC7707">
        <w:rPr>
          <w:rFonts w:asciiTheme="minorHAnsi" w:hAnsiTheme="minorHAnsi"/>
        </w:rPr>
        <w:t xml:space="preserve">The POC for the Reviewing IRB will ensure appropriate communication with Relying Institution POCs. </w:t>
      </w:r>
    </w:p>
    <w:p w14:paraId="35B1148D" w14:textId="6969D0D6" w:rsidR="00CD48F8" w:rsidRDefault="00CD48F8" w:rsidP="00CD48F8">
      <w:pPr>
        <w:pStyle w:val="ListParagraph"/>
        <w:spacing w:after="0" w:line="240" w:lineRule="auto"/>
        <w:ind w:left="1080"/>
        <w:rPr>
          <w:rFonts w:asciiTheme="minorHAnsi" w:hAnsiTheme="minorHAnsi"/>
        </w:rPr>
      </w:pPr>
    </w:p>
    <w:p w14:paraId="1B7D9775" w14:textId="3C2824B1" w:rsidR="002C07DC" w:rsidRDefault="002C07DC" w:rsidP="00CD48F8">
      <w:pPr>
        <w:pStyle w:val="ListParagraph"/>
        <w:spacing w:after="0" w:line="240" w:lineRule="auto"/>
        <w:ind w:left="1080"/>
        <w:rPr>
          <w:rFonts w:asciiTheme="minorHAnsi" w:hAnsiTheme="minorHAnsi"/>
        </w:rPr>
      </w:pPr>
    </w:p>
    <w:p w14:paraId="6B147530" w14:textId="77777777" w:rsidR="002C07DC" w:rsidRPr="00CD48F8" w:rsidRDefault="002C07DC" w:rsidP="00CD48F8">
      <w:pPr>
        <w:pStyle w:val="ListParagraph"/>
        <w:spacing w:after="0" w:line="240" w:lineRule="auto"/>
        <w:ind w:left="1080"/>
        <w:rPr>
          <w:rFonts w:asciiTheme="minorHAnsi" w:hAnsiTheme="minorHAnsi"/>
        </w:rPr>
      </w:pPr>
    </w:p>
    <w:p w14:paraId="22289898" w14:textId="65581B9B" w:rsidR="00CD48F8" w:rsidRPr="002C07DC" w:rsidRDefault="00CD48F8" w:rsidP="00CD48F8">
      <w:pPr>
        <w:rPr>
          <w:rFonts w:cs="Times New Roman"/>
          <w:b/>
          <w:i/>
          <w:color w:val="C00000"/>
          <w:sz w:val="24"/>
          <w:szCs w:val="24"/>
        </w:rPr>
      </w:pPr>
      <w:r w:rsidRPr="001C7C77">
        <w:rPr>
          <w:rFonts w:cs="Times New Roman"/>
          <w:b/>
          <w:i/>
          <w:color w:val="C00000"/>
          <w:sz w:val="24"/>
          <w:szCs w:val="24"/>
        </w:rPr>
        <w:lastRenderedPageBreak/>
        <w:t xml:space="preserve">Study Team Communication Plan </w:t>
      </w:r>
      <w:r w:rsidR="002C07DC">
        <w:rPr>
          <w:rFonts w:cs="Times New Roman"/>
          <w:b/>
          <w:i/>
          <w:color w:val="C00000"/>
          <w:sz w:val="24"/>
          <w:szCs w:val="24"/>
        </w:rPr>
        <w:br/>
      </w:r>
      <w:r w:rsidRPr="00EC7707">
        <w:rPr>
          <w:rFonts w:cs="Times New Roman"/>
        </w:rPr>
        <w:t>Study initiation conference calls will include a presentation by the [</w:t>
      </w:r>
      <w:r w:rsidRPr="00EC7707">
        <w:rPr>
          <w:rFonts w:cs="Times New Roman"/>
          <w:shd w:val="clear" w:color="auto" w:fill="BFBFBF" w:themeFill="background1" w:themeFillShade="BF"/>
        </w:rPr>
        <w:t>Overall Principal Investigator</w:t>
      </w:r>
      <w:r w:rsidRPr="00EC7707">
        <w:rPr>
          <w:rFonts w:cs="Times New Roman"/>
        </w:rPr>
        <w:t xml:space="preserve"> </w:t>
      </w:r>
      <w:r w:rsidRPr="00EC7707">
        <w:rPr>
          <w:rFonts w:cs="Times New Roman"/>
          <w:i/>
        </w:rPr>
        <w:t>or</w:t>
      </w:r>
      <w:r w:rsidRPr="00EC7707">
        <w:rPr>
          <w:rFonts w:cs="Times New Roman"/>
        </w:rPr>
        <w:t xml:space="preserve"> </w:t>
      </w:r>
      <w:r w:rsidRPr="00EC7707">
        <w:rPr>
          <w:rFonts w:cs="Times New Roman"/>
          <w:shd w:val="clear" w:color="auto" w:fill="BFBFBF" w:themeFill="background1" w:themeFillShade="BF"/>
        </w:rPr>
        <w:t>identify presenter</w:t>
      </w:r>
      <w:r w:rsidRPr="00EC7707">
        <w:rPr>
          <w:rFonts w:cs="Times New Roman"/>
        </w:rPr>
        <w:t>] to inform all sites about the reliance arrangement as well as the review processes and reporting requirements of the Reviewing IRB. In addition [</w:t>
      </w:r>
      <w:r w:rsidRPr="00EC7707">
        <w:rPr>
          <w:rFonts w:cs="Times New Roman"/>
          <w:shd w:val="clear" w:color="auto" w:fill="BFBFBF" w:themeFill="background1" w:themeFillShade="BF"/>
        </w:rPr>
        <w:t>name or role of person (e.g., coordinating center)</w:t>
      </w:r>
      <w:r w:rsidRPr="00EC7707">
        <w:rPr>
          <w:rFonts w:cs="Times New Roman"/>
        </w:rPr>
        <w:t>]</w:t>
      </w:r>
      <w:r w:rsidRPr="00EC7707" w:rsidDel="00471F52">
        <w:rPr>
          <w:rFonts w:cs="Times New Roman"/>
        </w:rPr>
        <w:t xml:space="preserve"> </w:t>
      </w:r>
      <w:r w:rsidRPr="00EC7707">
        <w:rPr>
          <w:rFonts w:cs="Times New Roman"/>
        </w:rPr>
        <w:t xml:space="preserve">will provide each site with a summary of the Reviewing IRB’s reporting requirements to be distributed to their study teams.   </w:t>
      </w:r>
    </w:p>
    <w:p w14:paraId="174621B7" w14:textId="6D6F71D6" w:rsidR="0018180A" w:rsidRDefault="00CD48F8" w:rsidP="00CD48F8">
      <w:pPr>
        <w:rPr>
          <w:rFonts w:cs="Times New Roman"/>
        </w:rPr>
      </w:pPr>
      <w:r w:rsidRPr="00EC7707">
        <w:rPr>
          <w:rFonts w:cs="Times New Roman"/>
        </w:rPr>
        <w:t>The</w:t>
      </w:r>
      <w:r w:rsidR="003D2CD0">
        <w:rPr>
          <w:rFonts w:cs="Times New Roman"/>
        </w:rPr>
        <w:t xml:space="preserve"> Lead Study Team </w:t>
      </w:r>
      <w:r w:rsidRPr="00EC7707">
        <w:rPr>
          <w:rFonts w:cs="Times New Roman"/>
        </w:rPr>
        <w:t>will be responsible for ensuring ongoing communication with all participating study teams via teleconferences and regular emails throughout the study. Key communication points will occur to:</w:t>
      </w:r>
    </w:p>
    <w:p w14:paraId="785B207F" w14:textId="77777777" w:rsidR="00CD48F8" w:rsidRPr="00EC7707" w:rsidRDefault="00CD48F8" w:rsidP="00CD48F8">
      <w:pPr>
        <w:pStyle w:val="ListParagraph"/>
        <w:numPr>
          <w:ilvl w:val="0"/>
          <w:numId w:val="6"/>
        </w:numPr>
        <w:spacing w:after="0" w:line="240" w:lineRule="auto"/>
        <w:rPr>
          <w:rFonts w:asciiTheme="minorHAnsi" w:hAnsiTheme="minorHAnsi"/>
        </w:rPr>
      </w:pPr>
      <w:r w:rsidRPr="00EC7707">
        <w:rPr>
          <w:rFonts w:asciiTheme="minorHAnsi" w:hAnsiTheme="minorHAnsi"/>
        </w:rPr>
        <w:t xml:space="preserve">Disseminate IRB determinations and IRB-approved </w:t>
      </w:r>
      <w:proofErr w:type="gramStart"/>
      <w:r w:rsidRPr="00EC7707">
        <w:rPr>
          <w:rFonts w:asciiTheme="minorHAnsi" w:hAnsiTheme="minorHAnsi"/>
        </w:rPr>
        <w:t>documents</w:t>
      </w:r>
      <w:proofErr w:type="gramEnd"/>
    </w:p>
    <w:p w14:paraId="5AFAA989" w14:textId="77777777" w:rsidR="00CD48F8" w:rsidRPr="00EC7707" w:rsidRDefault="00CD48F8" w:rsidP="00CD48F8">
      <w:pPr>
        <w:pStyle w:val="ListParagraph"/>
        <w:numPr>
          <w:ilvl w:val="0"/>
          <w:numId w:val="6"/>
        </w:numPr>
        <w:spacing w:after="0" w:line="240" w:lineRule="auto"/>
        <w:rPr>
          <w:rFonts w:asciiTheme="minorHAnsi" w:hAnsiTheme="minorHAnsi"/>
        </w:rPr>
      </w:pPr>
      <w:r w:rsidRPr="00EC7707">
        <w:rPr>
          <w:rFonts w:asciiTheme="minorHAnsi" w:hAnsiTheme="minorHAnsi"/>
        </w:rPr>
        <w:t>Educate study teams regarding the approved study and amendments to the study</w:t>
      </w:r>
    </w:p>
    <w:p w14:paraId="5D46E148" w14:textId="77777777" w:rsidR="00CD48F8" w:rsidRPr="00EC7707" w:rsidRDefault="00CD48F8" w:rsidP="00CD48F8">
      <w:pPr>
        <w:pStyle w:val="ListParagraph"/>
        <w:numPr>
          <w:ilvl w:val="0"/>
          <w:numId w:val="6"/>
        </w:numPr>
        <w:spacing w:after="0" w:line="240" w:lineRule="auto"/>
        <w:rPr>
          <w:rFonts w:asciiTheme="minorHAnsi" w:hAnsiTheme="minorHAnsi"/>
        </w:rPr>
      </w:pPr>
      <w:r w:rsidRPr="00EC7707">
        <w:rPr>
          <w:rFonts w:asciiTheme="minorHAnsi" w:hAnsiTheme="minorHAnsi"/>
        </w:rPr>
        <w:t>Alert study teams to problems that may affect the conduct of the study or the rights and welfare of research participants, such as unanticipated problems and serious noncompliance</w:t>
      </w:r>
    </w:p>
    <w:p w14:paraId="033D724F" w14:textId="77777777" w:rsidR="00CD48F8" w:rsidRPr="00EC7707" w:rsidRDefault="00CD48F8" w:rsidP="00CD48F8">
      <w:pPr>
        <w:pStyle w:val="ListParagraph"/>
        <w:numPr>
          <w:ilvl w:val="0"/>
          <w:numId w:val="6"/>
        </w:numPr>
        <w:spacing w:after="0" w:line="240" w:lineRule="auto"/>
        <w:rPr>
          <w:rFonts w:asciiTheme="minorHAnsi" w:hAnsiTheme="minorHAnsi"/>
        </w:rPr>
      </w:pPr>
      <w:r w:rsidRPr="00EC7707">
        <w:rPr>
          <w:rFonts w:asciiTheme="minorHAnsi" w:hAnsiTheme="minorHAnsi"/>
        </w:rPr>
        <w:t>Inform study teams of any changes in study status (e.g., temporary suspensions of recruitment) or new information</w:t>
      </w:r>
    </w:p>
    <w:p w14:paraId="6756EA6F" w14:textId="77777777" w:rsidR="00CD48F8" w:rsidRPr="00EC7707" w:rsidRDefault="00CD48F8" w:rsidP="00CD48F8">
      <w:pPr>
        <w:pStyle w:val="ListParagraph"/>
        <w:numPr>
          <w:ilvl w:val="0"/>
          <w:numId w:val="6"/>
        </w:numPr>
        <w:spacing w:after="0" w:line="240" w:lineRule="auto"/>
        <w:rPr>
          <w:rFonts w:asciiTheme="minorHAnsi" w:hAnsiTheme="minorHAnsi"/>
        </w:rPr>
      </w:pPr>
      <w:r w:rsidRPr="00EC7707">
        <w:rPr>
          <w:rFonts w:asciiTheme="minorHAnsi" w:hAnsiTheme="minorHAnsi"/>
        </w:rPr>
        <w:t xml:space="preserve">Facilitate submissions to the Reviewing IRB, including: </w:t>
      </w:r>
    </w:p>
    <w:p w14:paraId="0C6C84D6" w14:textId="77777777" w:rsidR="00CD48F8" w:rsidRPr="00EC7707" w:rsidRDefault="00CD48F8" w:rsidP="00CD48F8">
      <w:pPr>
        <w:pStyle w:val="ListParagraph"/>
        <w:numPr>
          <w:ilvl w:val="1"/>
          <w:numId w:val="6"/>
        </w:numPr>
        <w:spacing w:after="0" w:line="240" w:lineRule="auto"/>
        <w:rPr>
          <w:rFonts w:asciiTheme="minorHAnsi" w:hAnsiTheme="minorHAnsi"/>
        </w:rPr>
      </w:pPr>
      <w:r w:rsidRPr="00EC7707">
        <w:rPr>
          <w:rFonts w:asciiTheme="minorHAnsi" w:hAnsiTheme="minorHAnsi"/>
        </w:rPr>
        <w:t>Inclusion of site-specific requirements in consent documents</w:t>
      </w:r>
    </w:p>
    <w:p w14:paraId="3A30CE6C" w14:textId="77777777" w:rsidR="00CD48F8" w:rsidRPr="00EC7707" w:rsidRDefault="00CD48F8" w:rsidP="00CD48F8">
      <w:pPr>
        <w:pStyle w:val="ListParagraph"/>
        <w:numPr>
          <w:ilvl w:val="1"/>
          <w:numId w:val="6"/>
        </w:numPr>
        <w:spacing w:after="0" w:line="240" w:lineRule="auto"/>
        <w:rPr>
          <w:rFonts w:asciiTheme="minorHAnsi" w:hAnsiTheme="minorHAnsi"/>
        </w:rPr>
      </w:pPr>
      <w:r w:rsidRPr="00EC7707">
        <w:rPr>
          <w:rFonts w:asciiTheme="minorHAnsi" w:hAnsiTheme="minorHAnsi"/>
        </w:rPr>
        <w:t>Identification of any variability in study implementation across sites that must be communicated to the Reviewing IRB</w:t>
      </w:r>
    </w:p>
    <w:p w14:paraId="7D6BE66A" w14:textId="77777777" w:rsidR="00CD48F8" w:rsidRPr="00EC7707" w:rsidRDefault="00CD48F8" w:rsidP="00CD48F8">
      <w:pPr>
        <w:pStyle w:val="ListParagraph"/>
        <w:numPr>
          <w:ilvl w:val="1"/>
          <w:numId w:val="6"/>
        </w:numPr>
        <w:spacing w:after="0" w:line="240" w:lineRule="auto"/>
        <w:rPr>
          <w:rFonts w:asciiTheme="minorHAnsi" w:hAnsiTheme="minorHAnsi"/>
        </w:rPr>
      </w:pPr>
      <w:r w:rsidRPr="00EC7707">
        <w:rPr>
          <w:rFonts w:asciiTheme="minorHAnsi" w:hAnsiTheme="minorHAnsi"/>
        </w:rPr>
        <w:t>Collection of information from participating sites to include in continuing review reports to the Reviewing IRB</w:t>
      </w:r>
    </w:p>
    <w:p w14:paraId="2F7360E7" w14:textId="77777777" w:rsidR="00CD48F8" w:rsidRPr="00EC7707" w:rsidRDefault="00CD48F8" w:rsidP="00CD48F8">
      <w:pPr>
        <w:pStyle w:val="ListParagraph"/>
        <w:numPr>
          <w:ilvl w:val="1"/>
          <w:numId w:val="6"/>
        </w:numPr>
        <w:spacing w:after="0" w:line="240" w:lineRule="auto"/>
        <w:rPr>
          <w:rFonts w:asciiTheme="minorHAnsi" w:hAnsiTheme="minorHAnsi"/>
        </w:rPr>
      </w:pPr>
      <w:r w:rsidRPr="00EC7707">
        <w:rPr>
          <w:rFonts w:asciiTheme="minorHAnsi" w:hAnsiTheme="minorHAnsi"/>
        </w:rPr>
        <w:t>Site-specific amendments</w:t>
      </w:r>
    </w:p>
    <w:p w14:paraId="78594313" w14:textId="3A579844" w:rsidR="00CD48F8" w:rsidRPr="00EC7707" w:rsidRDefault="00CD48F8" w:rsidP="00CD48F8">
      <w:pPr>
        <w:pStyle w:val="ListParagraph"/>
        <w:numPr>
          <w:ilvl w:val="1"/>
          <w:numId w:val="6"/>
        </w:numPr>
        <w:spacing w:after="0" w:line="240" w:lineRule="auto"/>
        <w:rPr>
          <w:rFonts w:asciiTheme="minorHAnsi" w:hAnsiTheme="minorHAnsi"/>
        </w:rPr>
      </w:pPr>
      <w:r w:rsidRPr="00EC7707">
        <w:rPr>
          <w:rFonts w:asciiTheme="minorHAnsi" w:hAnsiTheme="minorHAnsi"/>
        </w:rPr>
        <w:t>Personnel updates</w:t>
      </w:r>
    </w:p>
    <w:p w14:paraId="136F22D8" w14:textId="77777777" w:rsidR="00CD48F8" w:rsidRPr="00EC7707" w:rsidRDefault="00CD48F8" w:rsidP="00CD48F8">
      <w:pPr>
        <w:pStyle w:val="ListParagraph"/>
        <w:numPr>
          <w:ilvl w:val="1"/>
          <w:numId w:val="6"/>
        </w:numPr>
        <w:spacing w:after="0" w:line="240" w:lineRule="auto"/>
        <w:rPr>
          <w:rFonts w:asciiTheme="minorHAnsi" w:hAnsiTheme="minorHAnsi"/>
        </w:rPr>
      </w:pPr>
      <w:r w:rsidRPr="00EC7707">
        <w:rPr>
          <w:rFonts w:asciiTheme="minorHAnsi" w:hAnsiTheme="minorHAnsi"/>
        </w:rPr>
        <w:t>Reportable events (e.g., noncompliance, unanticipated problems)</w:t>
      </w:r>
    </w:p>
    <w:p w14:paraId="29988486" w14:textId="77777777" w:rsidR="00CD48F8" w:rsidRPr="00EC7707" w:rsidRDefault="00CD48F8" w:rsidP="00CD48F8">
      <w:pPr>
        <w:pStyle w:val="ListParagraph"/>
        <w:numPr>
          <w:ilvl w:val="1"/>
          <w:numId w:val="6"/>
        </w:numPr>
        <w:spacing w:after="0" w:line="240" w:lineRule="auto"/>
        <w:rPr>
          <w:rFonts w:asciiTheme="minorHAnsi" w:hAnsiTheme="minorHAnsi"/>
        </w:rPr>
      </w:pPr>
      <w:r w:rsidRPr="00EC7707">
        <w:rPr>
          <w:rFonts w:asciiTheme="minorHAnsi" w:hAnsiTheme="minorHAnsi"/>
        </w:rPr>
        <w:t>Closure reports</w:t>
      </w:r>
    </w:p>
    <w:p w14:paraId="5B20CA2A" w14:textId="77777777" w:rsidR="00CD48F8" w:rsidRPr="00EC7707" w:rsidRDefault="00CD48F8" w:rsidP="00CD48F8">
      <w:pPr>
        <w:pStyle w:val="ListParagraph"/>
        <w:numPr>
          <w:ilvl w:val="0"/>
          <w:numId w:val="6"/>
        </w:numPr>
        <w:spacing w:after="0" w:line="240" w:lineRule="auto"/>
        <w:rPr>
          <w:rFonts w:asciiTheme="minorHAnsi" w:hAnsiTheme="minorHAnsi"/>
        </w:rPr>
      </w:pPr>
      <w:r w:rsidRPr="00EC7707">
        <w:rPr>
          <w:rFonts w:asciiTheme="minorHAnsi" w:hAnsiTheme="minorHAnsi"/>
        </w:rPr>
        <w:t>Ensure revisions to applicable conflict of interest management plans are provided to the Reviewing IRB</w:t>
      </w:r>
    </w:p>
    <w:p w14:paraId="13F8A406" w14:textId="77777777" w:rsidR="00CD48F8" w:rsidRPr="00EC7707" w:rsidRDefault="00CD48F8" w:rsidP="00CD48F8">
      <w:pPr>
        <w:rPr>
          <w:rFonts w:cs="Times New Roman"/>
        </w:rPr>
      </w:pPr>
    </w:p>
    <w:p w14:paraId="71664C9A" w14:textId="77777777" w:rsidR="008B343F" w:rsidRDefault="00000000"/>
    <w:sectPr w:rsidR="008B343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2D1A2" w14:textId="77777777" w:rsidR="00BD2792" w:rsidRDefault="00BD2792" w:rsidP="00C134DE">
      <w:pPr>
        <w:spacing w:after="0" w:line="240" w:lineRule="auto"/>
      </w:pPr>
      <w:r>
        <w:separator/>
      </w:r>
    </w:p>
  </w:endnote>
  <w:endnote w:type="continuationSeparator" w:id="0">
    <w:p w14:paraId="7F496E4F" w14:textId="77777777" w:rsidR="00BD2792" w:rsidRDefault="00BD2792" w:rsidP="00C13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MT">
    <w:altName w:val="Arial"/>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ItalicMT">
    <w:altName w:val="Arial"/>
    <w:charset w:val="00"/>
    <w:family w:val="auto"/>
    <w:pitch w:val="variable"/>
    <w:sig w:usb0="E0000AFF" w:usb1="00007843" w:usb2="00000001"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A7B81" w14:textId="77777777" w:rsidR="00C134DE" w:rsidRDefault="00C134DE">
    <w:pPr>
      <w:pStyle w:val="Footer"/>
    </w:pPr>
    <w:r>
      <w:rPr>
        <w:noProof/>
      </w:rPr>
      <mc:AlternateContent>
        <mc:Choice Requires="wps">
          <w:drawing>
            <wp:anchor distT="0" distB="0" distL="114300" distR="114300" simplePos="0" relativeHeight="251661312" behindDoc="0" locked="0" layoutInCell="1" allowOverlap="1" wp14:anchorId="7B442911" wp14:editId="00E86FCF">
              <wp:simplePos x="0" y="0"/>
              <wp:positionH relativeFrom="margin">
                <wp:posOffset>1596917</wp:posOffset>
              </wp:positionH>
              <wp:positionV relativeFrom="paragraph">
                <wp:posOffset>-127689</wp:posOffset>
              </wp:positionV>
              <wp:extent cx="4463415" cy="295910"/>
              <wp:effectExtent l="0" t="0" r="0" b="8890"/>
              <wp:wrapSquare wrapText="bothSides"/>
              <wp:docPr id="5" name="Text Box 5"/>
              <wp:cNvGraphicFramePr/>
              <a:graphic xmlns:a="http://schemas.openxmlformats.org/drawingml/2006/main">
                <a:graphicData uri="http://schemas.microsoft.com/office/word/2010/wordprocessingShape">
                  <wps:wsp>
                    <wps:cNvSpPr txBox="1"/>
                    <wps:spPr>
                      <a:xfrm>
                        <a:off x="0" y="0"/>
                        <a:ext cx="4463415" cy="295910"/>
                      </a:xfrm>
                      <a:prstGeom prst="rect">
                        <a:avLst/>
                      </a:prstGeom>
                      <a:noFill/>
                      <a:ln>
                        <a:noFill/>
                      </a:ln>
                      <a:effectLst/>
                    </wps:spPr>
                    <wps:txbx>
                      <w:txbxContent>
                        <w:p w14:paraId="0988858F" w14:textId="77777777" w:rsidR="00C134DE" w:rsidRPr="008631C5" w:rsidRDefault="00C134DE" w:rsidP="00C134DE">
                          <w:pPr>
                            <w:pStyle w:val="BasicParagraph"/>
                            <w:tabs>
                              <w:tab w:val="right" w:pos="9360"/>
                            </w:tabs>
                            <w:spacing w:line="240" w:lineRule="auto"/>
                            <w:rPr>
                              <w:rFonts w:ascii="Arial-ItalicMT" w:hAnsi="Arial-ItalicMT" w:cs="Arial-ItalicMT"/>
                              <w:iCs/>
                            </w:rPr>
                          </w:pPr>
                          <w:r w:rsidRPr="005A7C2E">
                            <w:rPr>
                              <w:rFonts w:ascii="Arial-ItalicMT" w:hAnsi="Arial-ItalicMT" w:cs="Arial-ItalicMT"/>
                              <w:bCs/>
                              <w:i/>
                              <w:iCs/>
                              <w:sz w:val="14"/>
                              <w:szCs w:val="14"/>
                            </w:rPr>
                            <w:t>Funded by the NIH National Center for Advancing Translational Sciences through its Clinical and Translational Science Awards Program, grant number UL1TR001102-04S1.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B442911" id="_x0000_t202" coordsize="21600,21600" o:spt="202" path="m,l,21600r21600,l21600,xe">
              <v:stroke joinstyle="miter"/>
              <v:path gradientshapeok="t" o:connecttype="rect"/>
            </v:shapetype>
            <v:shape id="Text Box 5" o:spid="_x0000_s1027" type="#_x0000_t202" style="position:absolute;margin-left:125.75pt;margin-top:-10.05pt;width:351.45pt;height:23.3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" filled="f" stroked="f">
              <v:textbox style="mso-fit-shape-to-text:t">
                <w:txbxContent>
                  <w:p w14:paraId="0988858F" w14:textId="77777777" w:rsidR="00C134DE" w:rsidRPr="008631C5" w:rsidRDefault="00C134DE" w:rsidP="00C134DE">
                    <w:pPr>
                      <w:pStyle w:val="BasicParagraph"/>
                      <w:tabs>
                        <w:tab w:val="right" w:pos="9360"/>
                      </w:tabs>
                      <w:spacing w:line="240" w:lineRule="auto"/>
                      <w:rPr>
                        <w:rFonts w:ascii="Arial-ItalicMT" w:hAnsi="Arial-ItalicMT" w:cs="Arial-ItalicMT"/>
                        <w:iCs/>
                      </w:rPr>
                    </w:pPr>
                    <w:r w:rsidRPr="005A7C2E">
                      <w:rPr>
                        <w:rFonts w:ascii="Arial-ItalicMT" w:hAnsi="Arial-ItalicMT" w:cs="Arial-ItalicMT"/>
                        <w:bCs/>
                        <w:i/>
                        <w:iCs/>
                        <w:sz w:val="14"/>
                        <w:szCs w:val="14"/>
                      </w:rPr>
                      <w:t>Funded by the NIH National Center for Advancing Translational Sciences through its Clinical and Translational Science Awards Program, grant number UL1TR001102-04S1.</w:t>
                    </w:r>
                  </w:p>
                </w:txbxContent>
              </v:textbox>
              <w10:wrap type="square" anchorx="margin"/>
            </v:shape>
          </w:pict>
        </mc:Fallback>
      </mc:AlternateContent>
    </w:r>
    <w:r w:rsidRPr="00C134DE">
      <w:rPr>
        <w:rFonts w:ascii="Calibri" w:eastAsia="Calibri" w:hAnsi="Calibri" w:cs="Times New Roman"/>
        <w:noProof/>
      </w:rPr>
      <mc:AlternateContent>
        <mc:Choice Requires="wps">
          <w:drawing>
            <wp:anchor distT="0" distB="0" distL="114300" distR="114300" simplePos="0" relativeHeight="251659264" behindDoc="0" locked="0" layoutInCell="1" allowOverlap="1" wp14:anchorId="70160AC6" wp14:editId="18A83F13">
              <wp:simplePos x="0" y="0"/>
              <wp:positionH relativeFrom="margin">
                <wp:align>left</wp:align>
              </wp:positionH>
              <wp:positionV relativeFrom="paragraph">
                <wp:posOffset>-158345</wp:posOffset>
              </wp:positionV>
              <wp:extent cx="1368425" cy="2667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1368425" cy="266700"/>
                      </a:xfrm>
                      <a:prstGeom prst="rect">
                        <a:avLst/>
                      </a:prstGeom>
                      <a:noFill/>
                      <a:ln>
                        <a:noFill/>
                      </a:ln>
                      <a:effectLst/>
                    </wps:spPr>
                    <wps:txbx>
                      <w:txbxContent>
                        <w:p w14:paraId="0BF80CAC" w14:textId="77777777" w:rsidR="00C134DE" w:rsidRPr="00D40DFC" w:rsidRDefault="00C134DE" w:rsidP="00C134DE">
                          <w:pPr>
                            <w:pStyle w:val="BasicParagraph"/>
                            <w:tabs>
                              <w:tab w:val="right" w:pos="9360"/>
                            </w:tabs>
                            <w:rPr>
                              <w:noProof/>
                            </w:rPr>
                          </w:pPr>
                          <w:r w:rsidRPr="00D44416">
                            <w:rPr>
                              <w:rFonts w:ascii="Arial-ItalicMT" w:hAnsi="Arial-ItalicMT" w:cs="Arial-ItalicMT"/>
                              <w:iCs/>
                              <w:sz w:val="24"/>
                              <w:szCs w:val="24"/>
                            </w:rPr>
                            <w:t>www.smartirb.org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0160AC6" id="Text Box 6" o:spid="_x0000_s1028" type="#_x0000_t202" style="position:absolute;margin-left:0;margin-top:-12.45pt;width:107.75pt;height:21pt;z-index:25165926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" filled="f" stroked="f">
              <v:textbox style="mso-fit-shape-to-text:t">
                <w:txbxContent>
                  <w:p w14:paraId="0BF80CAC" w14:textId="77777777" w:rsidR="00C134DE" w:rsidRPr="00D40DFC" w:rsidRDefault="00C134DE" w:rsidP="00C134DE">
                    <w:pPr>
                      <w:pStyle w:val="BasicParagraph"/>
                      <w:tabs>
                        <w:tab w:val="right" w:pos="9360"/>
                      </w:tabs>
                      <w:rPr>
                        <w:noProof/>
                      </w:rPr>
                    </w:pPr>
                    <w:r w:rsidRPr="00D44416">
                      <w:rPr>
                        <w:rFonts w:ascii="Arial-ItalicMT" w:hAnsi="Arial-ItalicMT" w:cs="Arial-ItalicMT"/>
                        <w:iCs/>
                        <w:sz w:val="24"/>
                        <w:szCs w:val="24"/>
                      </w:rPr>
                      <w:t>www.smartirb.org</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3909E" w14:textId="77777777" w:rsidR="00BD2792" w:rsidRDefault="00BD2792" w:rsidP="00C134DE">
      <w:pPr>
        <w:spacing w:after="0" w:line="240" w:lineRule="auto"/>
      </w:pPr>
      <w:r>
        <w:separator/>
      </w:r>
    </w:p>
  </w:footnote>
  <w:footnote w:type="continuationSeparator" w:id="0">
    <w:p w14:paraId="5BD4160F" w14:textId="77777777" w:rsidR="00BD2792" w:rsidRDefault="00BD2792" w:rsidP="00C13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F4D6E" w14:textId="71342B60" w:rsidR="00C134DE" w:rsidRDefault="007E6189">
    <w:pPr>
      <w:pStyle w:val="Header"/>
    </w:pPr>
    <w:r>
      <w:rPr>
        <w:noProof/>
      </w:rPr>
      <mc:AlternateContent>
        <mc:Choice Requires="wps">
          <w:drawing>
            <wp:anchor distT="0" distB="0" distL="114300" distR="114300" simplePos="0" relativeHeight="251663360" behindDoc="0" locked="0" layoutInCell="1" allowOverlap="1" wp14:anchorId="7970F4A0" wp14:editId="1AFA0FDA">
              <wp:simplePos x="0" y="0"/>
              <wp:positionH relativeFrom="column">
                <wp:posOffset>2384755</wp:posOffset>
              </wp:positionH>
              <wp:positionV relativeFrom="paragraph">
                <wp:posOffset>10973</wp:posOffset>
              </wp:positionV>
              <wp:extent cx="4279900" cy="666521"/>
              <wp:effectExtent l="0" t="0" r="6350" b="635"/>
              <wp:wrapNone/>
              <wp:docPr id="11" name="Text Box 11"/>
              <wp:cNvGraphicFramePr/>
              <a:graphic xmlns:a="http://schemas.openxmlformats.org/drawingml/2006/main">
                <a:graphicData uri="http://schemas.microsoft.com/office/word/2010/wordprocessingShape">
                  <wps:wsp>
                    <wps:cNvSpPr txBox="1"/>
                    <wps:spPr>
                      <a:xfrm>
                        <a:off x="0" y="0"/>
                        <a:ext cx="4279900" cy="666521"/>
                      </a:xfrm>
                      <a:prstGeom prst="rect">
                        <a:avLst/>
                      </a:prstGeom>
                      <a:noFill/>
                      <a:ln>
                        <a:noFill/>
                      </a:ln>
                      <a:effectLst/>
                    </wps:spPr>
                    <wps:txbx>
                      <w:txbxContent>
                        <w:p w14:paraId="01327AC4" w14:textId="7001952C" w:rsidR="007E6189" w:rsidRPr="00FA59A6" w:rsidRDefault="007E6189" w:rsidP="007E6189">
                          <w:pPr>
                            <w:autoSpaceDE w:val="0"/>
                            <w:autoSpaceDN w:val="0"/>
                            <w:adjustRightInd w:val="0"/>
                            <w:spacing w:after="0" w:line="240" w:lineRule="auto"/>
                            <w:rPr>
                              <w:rFonts w:ascii="Calibri" w:hAnsi="Calibri" w:cs="Calibri"/>
                              <w:sz w:val="20"/>
                              <w:szCs w:val="20"/>
                            </w:rPr>
                          </w:pPr>
                          <w:r w:rsidRPr="00FA59A6">
                            <w:rPr>
                              <w:rFonts w:ascii="Calibri" w:hAnsi="Calibri" w:cs="Calibri"/>
                              <w:b/>
                              <w:sz w:val="20"/>
                              <w:szCs w:val="20"/>
                            </w:rPr>
                            <w:t>Purpose of form:</w:t>
                          </w:r>
                          <w:r w:rsidRPr="00FA59A6">
                            <w:rPr>
                              <w:rFonts w:ascii="Calibri" w:hAnsi="Calibri" w:cs="Calibri"/>
                              <w:i/>
                              <w:sz w:val="20"/>
                              <w:szCs w:val="20"/>
                            </w:rPr>
                            <w:t xml:space="preserve"> </w:t>
                          </w:r>
                          <w:r w:rsidR="00415D80">
                            <w:rPr>
                              <w:rFonts w:ascii="Calibri" w:hAnsi="Calibri" w:cs="Calibri"/>
                              <w:sz w:val="20"/>
                              <w:szCs w:val="20"/>
                            </w:rPr>
                            <w:t>To</w:t>
                          </w:r>
                          <w:r w:rsidR="003D2CD0">
                            <w:rPr>
                              <w:rFonts w:ascii="Calibri" w:hAnsi="Calibri" w:cs="Calibri"/>
                              <w:sz w:val="20"/>
                              <w:szCs w:val="20"/>
                            </w:rPr>
                            <w:t xml:space="preserve"> provide language for researchers to adapt for federal grant applications, particularly when all or most institutions collaborating have joined the SMART IRB Master Reliance Agreement.</w:t>
                          </w:r>
                          <w:r w:rsidR="00415D80">
                            <w:rPr>
                              <w:rFonts w:ascii="Calibri" w:hAnsi="Calibri" w:cs="Calibri"/>
                              <w:sz w:val="20"/>
                              <w:szCs w:val="20"/>
                            </w:rPr>
                            <w:t xml:space="preserve"> Language in gray/brackets should be adjusted per study. For questions, please contact </w:t>
                          </w:r>
                          <w:hyperlink r:id="rId1" w:history="1">
                            <w:r w:rsidR="00415D80" w:rsidRPr="00D55F80">
                              <w:rPr>
                                <w:rStyle w:val="Hyperlink"/>
                                <w:rFonts w:ascii="Calibri" w:hAnsi="Calibri" w:cs="Calibri"/>
                                <w:sz w:val="20"/>
                                <w:szCs w:val="20"/>
                              </w:rPr>
                              <w:t>IRBreliance@bsd.uchicago.edu</w:t>
                            </w:r>
                          </w:hyperlink>
                          <w:r w:rsidR="00415D80">
                            <w:rPr>
                              <w:rFonts w:ascii="Calibri" w:hAnsi="Calibri" w:cs="Calibri"/>
                              <w:sz w:val="20"/>
                              <w:szCs w:val="2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70F4A0" id="_x0000_t202" coordsize="21600,21600" o:spt="202" path="m,l,21600r21600,l21600,xe">
              <v:stroke joinstyle="miter"/>
              <v:path gradientshapeok="t" o:connecttype="rect"/>
            </v:shapetype>
            <v:shape id="Text Box 11" o:spid="_x0000_s1026" type="#_x0000_t202" style="position:absolute;margin-left:187.8pt;margin-top:.85pt;width:337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" filled="f" stroked="f">
              <v:textbox inset="0,0,0,0">
                <w:txbxContent>
                  <w:p w14:paraId="01327AC4" w14:textId="7001952C" w:rsidR="007E6189" w:rsidRPr="00FA59A6" w:rsidRDefault="007E6189" w:rsidP="007E6189">
                    <w:pPr>
                      <w:autoSpaceDE w:val="0"/>
                      <w:autoSpaceDN w:val="0"/>
                      <w:adjustRightInd w:val="0"/>
                      <w:spacing w:after="0" w:line="240" w:lineRule="auto"/>
                      <w:rPr>
                        <w:rFonts w:ascii="Calibri" w:hAnsi="Calibri" w:cs="Calibri"/>
                        <w:sz w:val="20"/>
                        <w:szCs w:val="20"/>
                      </w:rPr>
                    </w:pPr>
                    <w:r w:rsidRPr="00FA59A6">
                      <w:rPr>
                        <w:rFonts w:ascii="Calibri" w:hAnsi="Calibri" w:cs="Calibri"/>
                        <w:b/>
                        <w:sz w:val="20"/>
                        <w:szCs w:val="20"/>
                      </w:rPr>
                      <w:t>Purpose of form:</w:t>
                    </w:r>
                    <w:r w:rsidRPr="00FA59A6">
                      <w:rPr>
                        <w:rFonts w:ascii="Calibri" w:hAnsi="Calibri" w:cs="Calibri"/>
                        <w:i/>
                        <w:sz w:val="20"/>
                        <w:szCs w:val="20"/>
                      </w:rPr>
                      <w:t xml:space="preserve"> </w:t>
                    </w:r>
                    <w:r w:rsidR="00415D80">
                      <w:rPr>
                        <w:rFonts w:ascii="Calibri" w:hAnsi="Calibri" w:cs="Calibri"/>
                        <w:sz w:val="20"/>
                        <w:szCs w:val="20"/>
                      </w:rPr>
                      <w:t>To</w:t>
                    </w:r>
                    <w:r w:rsidR="003D2CD0">
                      <w:rPr>
                        <w:rFonts w:ascii="Calibri" w:hAnsi="Calibri" w:cs="Calibri"/>
                        <w:sz w:val="20"/>
                        <w:szCs w:val="20"/>
                      </w:rPr>
                      <w:t xml:space="preserve"> provide language for researchers to adapt for federal grant applications, particularly when all or most institutions collaborating have joined the SMART IRB Master Reliance Agreement.</w:t>
                    </w:r>
                    <w:r w:rsidR="00415D80">
                      <w:rPr>
                        <w:rFonts w:ascii="Calibri" w:hAnsi="Calibri" w:cs="Calibri"/>
                        <w:sz w:val="20"/>
                        <w:szCs w:val="20"/>
                      </w:rPr>
                      <w:t xml:space="preserve"> Language in gray/brackets should be adjusted per study. For questions, please contact </w:t>
                    </w:r>
                    <w:hyperlink r:id="rId2" w:history="1">
                      <w:r w:rsidR="00415D80" w:rsidRPr="00D55F80">
                        <w:rPr>
                          <w:rStyle w:val="Hyperlink"/>
                          <w:rFonts w:ascii="Calibri" w:hAnsi="Calibri" w:cs="Calibri"/>
                          <w:sz w:val="20"/>
                          <w:szCs w:val="20"/>
                        </w:rPr>
                        <w:t>IRBreliance@bsd.uchicago.edu</w:t>
                      </w:r>
                    </w:hyperlink>
                    <w:r w:rsidR="00415D80">
                      <w:rPr>
                        <w:rFonts w:ascii="Calibri" w:hAnsi="Calibri" w:cs="Calibri"/>
                        <w:sz w:val="20"/>
                        <w:szCs w:val="20"/>
                      </w:rPr>
                      <w:t xml:space="preserve"> .</w:t>
                    </w:r>
                  </w:p>
                </w:txbxContent>
              </v:textbox>
            </v:shape>
          </w:pict>
        </mc:Fallback>
      </mc:AlternateContent>
    </w:r>
    <w:r>
      <w:rPr>
        <w:noProof/>
      </w:rPr>
      <w:drawing>
        <wp:inline distT="0" distB="0" distL="0" distR="0" wp14:anchorId="4B8B1FF3" wp14:editId="33558000">
          <wp:extent cx="2684310" cy="5372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R_Logo_1-30-2018.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693188" cy="538987"/>
                  </a:xfrm>
                  <a:prstGeom prst="rect">
                    <a:avLst/>
                  </a:prstGeom>
                </pic:spPr>
              </pic:pic>
            </a:graphicData>
          </a:graphic>
        </wp:inline>
      </w:drawing>
    </w:r>
  </w:p>
  <w:p w14:paraId="2F5A53D2" w14:textId="77777777" w:rsidR="00C134DE" w:rsidRDefault="00C134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30F00"/>
    <w:multiLevelType w:val="hybridMultilevel"/>
    <w:tmpl w:val="0DD60526"/>
    <w:lvl w:ilvl="0" w:tplc="1A800D4E">
      <w:start w:val="1"/>
      <w:numFmt w:val="bullet"/>
      <w:lvlText w:val=""/>
      <w:lvlJc w:val="left"/>
      <w:pPr>
        <w:ind w:left="1440" w:hanging="360"/>
      </w:pPr>
      <w:rPr>
        <w:rFonts w:ascii="Symbol" w:hAnsi="Symbol" w:hint="default"/>
      </w:rPr>
    </w:lvl>
    <w:lvl w:ilvl="1" w:tplc="EC7AAA78">
      <w:start w:val="1"/>
      <w:numFmt w:val="bullet"/>
      <w:lvlText w:val="o"/>
      <w:lvlJc w:val="left"/>
      <w:pPr>
        <w:ind w:left="2160" w:hanging="360"/>
      </w:pPr>
      <w:rPr>
        <w:rFonts w:ascii="Courier New" w:hAnsi="Courier New" w:cs="Courier New" w:hint="default"/>
      </w:rPr>
    </w:lvl>
    <w:lvl w:ilvl="2" w:tplc="27AA2536" w:tentative="1">
      <w:start w:val="1"/>
      <w:numFmt w:val="bullet"/>
      <w:lvlText w:val=""/>
      <w:lvlJc w:val="left"/>
      <w:pPr>
        <w:ind w:left="2880" w:hanging="360"/>
      </w:pPr>
      <w:rPr>
        <w:rFonts w:ascii="Wingdings" w:hAnsi="Wingdings" w:hint="default"/>
      </w:rPr>
    </w:lvl>
    <w:lvl w:ilvl="3" w:tplc="016AAA8A" w:tentative="1">
      <w:start w:val="1"/>
      <w:numFmt w:val="bullet"/>
      <w:lvlText w:val=""/>
      <w:lvlJc w:val="left"/>
      <w:pPr>
        <w:ind w:left="3600" w:hanging="360"/>
      </w:pPr>
      <w:rPr>
        <w:rFonts w:ascii="Symbol" w:hAnsi="Symbol" w:hint="default"/>
      </w:rPr>
    </w:lvl>
    <w:lvl w:ilvl="4" w:tplc="20FCDB7C" w:tentative="1">
      <w:start w:val="1"/>
      <w:numFmt w:val="bullet"/>
      <w:lvlText w:val="o"/>
      <w:lvlJc w:val="left"/>
      <w:pPr>
        <w:ind w:left="4320" w:hanging="360"/>
      </w:pPr>
      <w:rPr>
        <w:rFonts w:ascii="Courier New" w:hAnsi="Courier New" w:cs="Courier New" w:hint="default"/>
      </w:rPr>
    </w:lvl>
    <w:lvl w:ilvl="5" w:tplc="ADA057AA" w:tentative="1">
      <w:start w:val="1"/>
      <w:numFmt w:val="bullet"/>
      <w:lvlText w:val=""/>
      <w:lvlJc w:val="left"/>
      <w:pPr>
        <w:ind w:left="5040" w:hanging="360"/>
      </w:pPr>
      <w:rPr>
        <w:rFonts w:ascii="Wingdings" w:hAnsi="Wingdings" w:hint="default"/>
      </w:rPr>
    </w:lvl>
    <w:lvl w:ilvl="6" w:tplc="6E6800CE" w:tentative="1">
      <w:start w:val="1"/>
      <w:numFmt w:val="bullet"/>
      <w:lvlText w:val=""/>
      <w:lvlJc w:val="left"/>
      <w:pPr>
        <w:ind w:left="5760" w:hanging="360"/>
      </w:pPr>
      <w:rPr>
        <w:rFonts w:ascii="Symbol" w:hAnsi="Symbol" w:hint="default"/>
      </w:rPr>
    </w:lvl>
    <w:lvl w:ilvl="7" w:tplc="3EA6B036" w:tentative="1">
      <w:start w:val="1"/>
      <w:numFmt w:val="bullet"/>
      <w:lvlText w:val="o"/>
      <w:lvlJc w:val="left"/>
      <w:pPr>
        <w:ind w:left="6480" w:hanging="360"/>
      </w:pPr>
      <w:rPr>
        <w:rFonts w:ascii="Courier New" w:hAnsi="Courier New" w:cs="Courier New" w:hint="default"/>
      </w:rPr>
    </w:lvl>
    <w:lvl w:ilvl="8" w:tplc="AD343AE2" w:tentative="1">
      <w:start w:val="1"/>
      <w:numFmt w:val="bullet"/>
      <w:lvlText w:val=""/>
      <w:lvlJc w:val="left"/>
      <w:pPr>
        <w:ind w:left="7200" w:hanging="360"/>
      </w:pPr>
      <w:rPr>
        <w:rFonts w:ascii="Wingdings" w:hAnsi="Wingdings" w:hint="default"/>
      </w:rPr>
    </w:lvl>
  </w:abstractNum>
  <w:abstractNum w:abstractNumId="1" w15:restartNumberingAfterBreak="0">
    <w:nsid w:val="35942F17"/>
    <w:multiLevelType w:val="hybridMultilevel"/>
    <w:tmpl w:val="9794AF26"/>
    <w:lvl w:ilvl="0" w:tplc="E814E282">
      <w:start w:val="1"/>
      <w:numFmt w:val="bullet"/>
      <w:lvlText w:val=""/>
      <w:lvlJc w:val="left"/>
      <w:pPr>
        <w:ind w:left="720" w:hanging="360"/>
      </w:pPr>
      <w:rPr>
        <w:rFonts w:ascii="Symbol" w:hAnsi="Symbol" w:hint="default"/>
      </w:rPr>
    </w:lvl>
    <w:lvl w:ilvl="1" w:tplc="3636066C" w:tentative="1">
      <w:start w:val="1"/>
      <w:numFmt w:val="bullet"/>
      <w:lvlText w:val="o"/>
      <w:lvlJc w:val="left"/>
      <w:pPr>
        <w:ind w:left="1440" w:hanging="360"/>
      </w:pPr>
      <w:rPr>
        <w:rFonts w:ascii="Courier New" w:hAnsi="Courier New" w:cs="Courier New" w:hint="default"/>
      </w:rPr>
    </w:lvl>
    <w:lvl w:ilvl="2" w:tplc="C6C4F6AA" w:tentative="1">
      <w:start w:val="1"/>
      <w:numFmt w:val="bullet"/>
      <w:lvlText w:val=""/>
      <w:lvlJc w:val="left"/>
      <w:pPr>
        <w:ind w:left="2160" w:hanging="360"/>
      </w:pPr>
      <w:rPr>
        <w:rFonts w:ascii="Wingdings" w:hAnsi="Wingdings" w:hint="default"/>
      </w:rPr>
    </w:lvl>
    <w:lvl w:ilvl="3" w:tplc="A0CEAFB2" w:tentative="1">
      <w:start w:val="1"/>
      <w:numFmt w:val="bullet"/>
      <w:lvlText w:val=""/>
      <w:lvlJc w:val="left"/>
      <w:pPr>
        <w:ind w:left="2880" w:hanging="360"/>
      </w:pPr>
      <w:rPr>
        <w:rFonts w:ascii="Symbol" w:hAnsi="Symbol" w:hint="default"/>
      </w:rPr>
    </w:lvl>
    <w:lvl w:ilvl="4" w:tplc="CA966A12" w:tentative="1">
      <w:start w:val="1"/>
      <w:numFmt w:val="bullet"/>
      <w:lvlText w:val="o"/>
      <w:lvlJc w:val="left"/>
      <w:pPr>
        <w:ind w:left="3600" w:hanging="360"/>
      </w:pPr>
      <w:rPr>
        <w:rFonts w:ascii="Courier New" w:hAnsi="Courier New" w:cs="Courier New" w:hint="default"/>
      </w:rPr>
    </w:lvl>
    <w:lvl w:ilvl="5" w:tplc="C2001DA8" w:tentative="1">
      <w:start w:val="1"/>
      <w:numFmt w:val="bullet"/>
      <w:lvlText w:val=""/>
      <w:lvlJc w:val="left"/>
      <w:pPr>
        <w:ind w:left="4320" w:hanging="360"/>
      </w:pPr>
      <w:rPr>
        <w:rFonts w:ascii="Wingdings" w:hAnsi="Wingdings" w:hint="default"/>
      </w:rPr>
    </w:lvl>
    <w:lvl w:ilvl="6" w:tplc="0E2C1AEC" w:tentative="1">
      <w:start w:val="1"/>
      <w:numFmt w:val="bullet"/>
      <w:lvlText w:val=""/>
      <w:lvlJc w:val="left"/>
      <w:pPr>
        <w:ind w:left="5040" w:hanging="360"/>
      </w:pPr>
      <w:rPr>
        <w:rFonts w:ascii="Symbol" w:hAnsi="Symbol" w:hint="default"/>
      </w:rPr>
    </w:lvl>
    <w:lvl w:ilvl="7" w:tplc="2020C8DE" w:tentative="1">
      <w:start w:val="1"/>
      <w:numFmt w:val="bullet"/>
      <w:lvlText w:val="o"/>
      <w:lvlJc w:val="left"/>
      <w:pPr>
        <w:ind w:left="5760" w:hanging="360"/>
      </w:pPr>
      <w:rPr>
        <w:rFonts w:ascii="Courier New" w:hAnsi="Courier New" w:cs="Courier New" w:hint="default"/>
      </w:rPr>
    </w:lvl>
    <w:lvl w:ilvl="8" w:tplc="A006B3D0" w:tentative="1">
      <w:start w:val="1"/>
      <w:numFmt w:val="bullet"/>
      <w:lvlText w:val=""/>
      <w:lvlJc w:val="left"/>
      <w:pPr>
        <w:ind w:left="6480" w:hanging="360"/>
      </w:pPr>
      <w:rPr>
        <w:rFonts w:ascii="Wingdings" w:hAnsi="Wingdings" w:hint="default"/>
      </w:rPr>
    </w:lvl>
  </w:abstractNum>
  <w:abstractNum w:abstractNumId="2" w15:restartNumberingAfterBreak="0">
    <w:nsid w:val="3E9D4E93"/>
    <w:multiLevelType w:val="hybridMultilevel"/>
    <w:tmpl w:val="24B813D4"/>
    <w:lvl w:ilvl="0" w:tplc="5B204734">
      <w:start w:val="1"/>
      <w:numFmt w:val="bullet"/>
      <w:lvlText w:val=""/>
      <w:lvlJc w:val="left"/>
      <w:pPr>
        <w:ind w:left="1440" w:hanging="360"/>
      </w:pPr>
      <w:rPr>
        <w:rFonts w:ascii="Symbol" w:hAnsi="Symbol" w:hint="default"/>
      </w:rPr>
    </w:lvl>
    <w:lvl w:ilvl="1" w:tplc="2DDEEA6E" w:tentative="1">
      <w:start w:val="1"/>
      <w:numFmt w:val="bullet"/>
      <w:lvlText w:val="o"/>
      <w:lvlJc w:val="left"/>
      <w:pPr>
        <w:ind w:left="2160" w:hanging="360"/>
      </w:pPr>
      <w:rPr>
        <w:rFonts w:ascii="Courier New" w:hAnsi="Courier New" w:cs="Courier New" w:hint="default"/>
      </w:rPr>
    </w:lvl>
    <w:lvl w:ilvl="2" w:tplc="371CB7B0" w:tentative="1">
      <w:start w:val="1"/>
      <w:numFmt w:val="bullet"/>
      <w:lvlText w:val=""/>
      <w:lvlJc w:val="left"/>
      <w:pPr>
        <w:ind w:left="2880" w:hanging="360"/>
      </w:pPr>
      <w:rPr>
        <w:rFonts w:ascii="Wingdings" w:hAnsi="Wingdings" w:hint="default"/>
      </w:rPr>
    </w:lvl>
    <w:lvl w:ilvl="3" w:tplc="83A60608" w:tentative="1">
      <w:start w:val="1"/>
      <w:numFmt w:val="bullet"/>
      <w:lvlText w:val=""/>
      <w:lvlJc w:val="left"/>
      <w:pPr>
        <w:ind w:left="3600" w:hanging="360"/>
      </w:pPr>
      <w:rPr>
        <w:rFonts w:ascii="Symbol" w:hAnsi="Symbol" w:hint="default"/>
      </w:rPr>
    </w:lvl>
    <w:lvl w:ilvl="4" w:tplc="B524CECA" w:tentative="1">
      <w:start w:val="1"/>
      <w:numFmt w:val="bullet"/>
      <w:lvlText w:val="o"/>
      <w:lvlJc w:val="left"/>
      <w:pPr>
        <w:ind w:left="4320" w:hanging="360"/>
      </w:pPr>
      <w:rPr>
        <w:rFonts w:ascii="Courier New" w:hAnsi="Courier New" w:cs="Courier New" w:hint="default"/>
      </w:rPr>
    </w:lvl>
    <w:lvl w:ilvl="5" w:tplc="D76600E0" w:tentative="1">
      <w:start w:val="1"/>
      <w:numFmt w:val="bullet"/>
      <w:lvlText w:val=""/>
      <w:lvlJc w:val="left"/>
      <w:pPr>
        <w:ind w:left="5040" w:hanging="360"/>
      </w:pPr>
      <w:rPr>
        <w:rFonts w:ascii="Wingdings" w:hAnsi="Wingdings" w:hint="default"/>
      </w:rPr>
    </w:lvl>
    <w:lvl w:ilvl="6" w:tplc="DBE80756" w:tentative="1">
      <w:start w:val="1"/>
      <w:numFmt w:val="bullet"/>
      <w:lvlText w:val=""/>
      <w:lvlJc w:val="left"/>
      <w:pPr>
        <w:ind w:left="5760" w:hanging="360"/>
      </w:pPr>
      <w:rPr>
        <w:rFonts w:ascii="Symbol" w:hAnsi="Symbol" w:hint="default"/>
      </w:rPr>
    </w:lvl>
    <w:lvl w:ilvl="7" w:tplc="BB7C1B42" w:tentative="1">
      <w:start w:val="1"/>
      <w:numFmt w:val="bullet"/>
      <w:lvlText w:val="o"/>
      <w:lvlJc w:val="left"/>
      <w:pPr>
        <w:ind w:left="6480" w:hanging="360"/>
      </w:pPr>
      <w:rPr>
        <w:rFonts w:ascii="Courier New" w:hAnsi="Courier New" w:cs="Courier New" w:hint="default"/>
      </w:rPr>
    </w:lvl>
    <w:lvl w:ilvl="8" w:tplc="11C05EA2" w:tentative="1">
      <w:start w:val="1"/>
      <w:numFmt w:val="bullet"/>
      <w:lvlText w:val=""/>
      <w:lvlJc w:val="left"/>
      <w:pPr>
        <w:ind w:left="7200" w:hanging="360"/>
      </w:pPr>
      <w:rPr>
        <w:rFonts w:ascii="Wingdings" w:hAnsi="Wingdings" w:hint="default"/>
      </w:rPr>
    </w:lvl>
  </w:abstractNum>
  <w:abstractNum w:abstractNumId="3" w15:restartNumberingAfterBreak="0">
    <w:nsid w:val="44AB24F0"/>
    <w:multiLevelType w:val="hybridMultilevel"/>
    <w:tmpl w:val="6B8425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CA17C55"/>
    <w:multiLevelType w:val="hybridMultilevel"/>
    <w:tmpl w:val="3AC4E112"/>
    <w:lvl w:ilvl="0" w:tplc="1CF8C794">
      <w:start w:val="1"/>
      <w:numFmt w:val="bullet"/>
      <w:lvlText w:val=""/>
      <w:lvlJc w:val="left"/>
      <w:pPr>
        <w:ind w:left="1440" w:hanging="360"/>
      </w:pPr>
      <w:rPr>
        <w:rFonts w:ascii="Symbol" w:hAnsi="Symbol" w:hint="default"/>
      </w:rPr>
    </w:lvl>
    <w:lvl w:ilvl="1" w:tplc="284675EE" w:tentative="1">
      <w:start w:val="1"/>
      <w:numFmt w:val="bullet"/>
      <w:lvlText w:val="o"/>
      <w:lvlJc w:val="left"/>
      <w:pPr>
        <w:ind w:left="2160" w:hanging="360"/>
      </w:pPr>
      <w:rPr>
        <w:rFonts w:ascii="Courier New" w:hAnsi="Courier New" w:cs="Courier New" w:hint="default"/>
      </w:rPr>
    </w:lvl>
    <w:lvl w:ilvl="2" w:tplc="A62EE5CA" w:tentative="1">
      <w:start w:val="1"/>
      <w:numFmt w:val="bullet"/>
      <w:lvlText w:val=""/>
      <w:lvlJc w:val="left"/>
      <w:pPr>
        <w:ind w:left="2880" w:hanging="360"/>
      </w:pPr>
      <w:rPr>
        <w:rFonts w:ascii="Wingdings" w:hAnsi="Wingdings" w:hint="default"/>
      </w:rPr>
    </w:lvl>
    <w:lvl w:ilvl="3" w:tplc="3D0EB0D8" w:tentative="1">
      <w:start w:val="1"/>
      <w:numFmt w:val="bullet"/>
      <w:lvlText w:val=""/>
      <w:lvlJc w:val="left"/>
      <w:pPr>
        <w:ind w:left="3600" w:hanging="360"/>
      </w:pPr>
      <w:rPr>
        <w:rFonts w:ascii="Symbol" w:hAnsi="Symbol" w:hint="default"/>
      </w:rPr>
    </w:lvl>
    <w:lvl w:ilvl="4" w:tplc="D4C07DBE" w:tentative="1">
      <w:start w:val="1"/>
      <w:numFmt w:val="bullet"/>
      <w:lvlText w:val="o"/>
      <w:lvlJc w:val="left"/>
      <w:pPr>
        <w:ind w:left="4320" w:hanging="360"/>
      </w:pPr>
      <w:rPr>
        <w:rFonts w:ascii="Courier New" w:hAnsi="Courier New" w:cs="Courier New" w:hint="default"/>
      </w:rPr>
    </w:lvl>
    <w:lvl w:ilvl="5" w:tplc="793C8800" w:tentative="1">
      <w:start w:val="1"/>
      <w:numFmt w:val="bullet"/>
      <w:lvlText w:val=""/>
      <w:lvlJc w:val="left"/>
      <w:pPr>
        <w:ind w:left="5040" w:hanging="360"/>
      </w:pPr>
      <w:rPr>
        <w:rFonts w:ascii="Wingdings" w:hAnsi="Wingdings" w:hint="default"/>
      </w:rPr>
    </w:lvl>
    <w:lvl w:ilvl="6" w:tplc="0F62940A" w:tentative="1">
      <w:start w:val="1"/>
      <w:numFmt w:val="bullet"/>
      <w:lvlText w:val=""/>
      <w:lvlJc w:val="left"/>
      <w:pPr>
        <w:ind w:left="5760" w:hanging="360"/>
      </w:pPr>
      <w:rPr>
        <w:rFonts w:ascii="Symbol" w:hAnsi="Symbol" w:hint="default"/>
      </w:rPr>
    </w:lvl>
    <w:lvl w:ilvl="7" w:tplc="D764C5FC" w:tentative="1">
      <w:start w:val="1"/>
      <w:numFmt w:val="bullet"/>
      <w:lvlText w:val="o"/>
      <w:lvlJc w:val="left"/>
      <w:pPr>
        <w:ind w:left="6480" w:hanging="360"/>
      </w:pPr>
      <w:rPr>
        <w:rFonts w:ascii="Courier New" w:hAnsi="Courier New" w:cs="Courier New" w:hint="default"/>
      </w:rPr>
    </w:lvl>
    <w:lvl w:ilvl="8" w:tplc="EDEAC38E" w:tentative="1">
      <w:start w:val="1"/>
      <w:numFmt w:val="bullet"/>
      <w:lvlText w:val=""/>
      <w:lvlJc w:val="left"/>
      <w:pPr>
        <w:ind w:left="7200" w:hanging="360"/>
      </w:pPr>
      <w:rPr>
        <w:rFonts w:ascii="Wingdings" w:hAnsi="Wingdings" w:hint="default"/>
      </w:rPr>
    </w:lvl>
  </w:abstractNum>
  <w:abstractNum w:abstractNumId="5" w15:restartNumberingAfterBreak="0">
    <w:nsid w:val="623012A2"/>
    <w:multiLevelType w:val="hybridMultilevel"/>
    <w:tmpl w:val="23885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7994678">
    <w:abstractNumId w:val="1"/>
  </w:num>
  <w:num w:numId="2" w16cid:durableId="1040714151">
    <w:abstractNumId w:val="2"/>
  </w:num>
  <w:num w:numId="3" w16cid:durableId="1537893534">
    <w:abstractNumId w:val="4"/>
  </w:num>
  <w:num w:numId="4" w16cid:durableId="1316227545">
    <w:abstractNumId w:val="0"/>
  </w:num>
  <w:num w:numId="5" w16cid:durableId="973948925">
    <w:abstractNumId w:val="3"/>
  </w:num>
  <w:num w:numId="6" w16cid:durableId="4204962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4DE"/>
    <w:rsid w:val="000F38FA"/>
    <w:rsid w:val="001076FA"/>
    <w:rsid w:val="0018180A"/>
    <w:rsid w:val="001C7C77"/>
    <w:rsid w:val="002B0B31"/>
    <w:rsid w:val="002C07DC"/>
    <w:rsid w:val="003640F4"/>
    <w:rsid w:val="00394F81"/>
    <w:rsid w:val="003D2CD0"/>
    <w:rsid w:val="00415D80"/>
    <w:rsid w:val="00532147"/>
    <w:rsid w:val="00727E9F"/>
    <w:rsid w:val="00742E14"/>
    <w:rsid w:val="00787089"/>
    <w:rsid w:val="007E6189"/>
    <w:rsid w:val="0086366D"/>
    <w:rsid w:val="00BD2792"/>
    <w:rsid w:val="00C134DE"/>
    <w:rsid w:val="00C30477"/>
    <w:rsid w:val="00CB15C5"/>
    <w:rsid w:val="00CD48F8"/>
    <w:rsid w:val="00D2161F"/>
    <w:rsid w:val="00F33DB1"/>
    <w:rsid w:val="00FE4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7E66F"/>
  <w15:docId w15:val="{180FA6EF-48B1-4608-93A1-11CC48C8B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134D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34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4DE"/>
  </w:style>
  <w:style w:type="paragraph" w:styleId="Footer">
    <w:name w:val="footer"/>
    <w:basedOn w:val="Normal"/>
    <w:link w:val="FooterChar"/>
    <w:uiPriority w:val="99"/>
    <w:unhideWhenUsed/>
    <w:rsid w:val="00C134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4DE"/>
  </w:style>
  <w:style w:type="paragraph" w:customStyle="1" w:styleId="BasicParagraph">
    <w:name w:val="[Basic Paragraph]"/>
    <w:basedOn w:val="Normal"/>
    <w:uiPriority w:val="99"/>
    <w:rsid w:val="00C134DE"/>
    <w:pPr>
      <w:widowControl w:val="0"/>
      <w:suppressAutoHyphens/>
      <w:autoSpaceDE w:val="0"/>
      <w:autoSpaceDN w:val="0"/>
      <w:adjustRightInd w:val="0"/>
      <w:spacing w:after="0" w:line="260" w:lineRule="atLeast"/>
      <w:textAlignment w:val="center"/>
    </w:pPr>
    <w:rPr>
      <w:rFonts w:ascii="ArialMT" w:hAnsi="ArialMT" w:cs="ArialMT"/>
      <w:color w:val="000000"/>
      <w:sz w:val="20"/>
      <w:szCs w:val="20"/>
    </w:rPr>
  </w:style>
  <w:style w:type="paragraph" w:styleId="ListParagraph">
    <w:name w:val="List Paragraph"/>
    <w:basedOn w:val="Normal"/>
    <w:uiPriority w:val="34"/>
    <w:qFormat/>
    <w:rsid w:val="00C134DE"/>
    <w:pPr>
      <w:ind w:left="720"/>
      <w:contextualSpacing/>
    </w:pPr>
    <w:rPr>
      <w:rFonts w:ascii="Calibri" w:eastAsia="Calibri" w:hAnsi="Calibri" w:cs="Times New Roman"/>
    </w:rPr>
  </w:style>
  <w:style w:type="character" w:styleId="Hyperlink">
    <w:name w:val="Hyperlink"/>
    <w:basedOn w:val="DefaultParagraphFont"/>
    <w:uiPriority w:val="99"/>
    <w:unhideWhenUsed/>
    <w:rsid w:val="00CD48F8"/>
    <w:rPr>
      <w:color w:val="0000FF"/>
      <w:u w:val="single"/>
    </w:rPr>
  </w:style>
  <w:style w:type="paragraph" w:styleId="BalloonText">
    <w:name w:val="Balloon Text"/>
    <w:basedOn w:val="Normal"/>
    <w:link w:val="BalloonTextChar"/>
    <w:uiPriority w:val="99"/>
    <w:semiHidden/>
    <w:unhideWhenUsed/>
    <w:rsid w:val="00CB15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5C5"/>
    <w:rPr>
      <w:rFonts w:ascii="Tahoma" w:hAnsi="Tahoma" w:cs="Tahoma"/>
      <w:sz w:val="16"/>
      <w:szCs w:val="16"/>
    </w:rPr>
  </w:style>
  <w:style w:type="character" w:styleId="FollowedHyperlink">
    <w:name w:val="FollowedHyperlink"/>
    <w:basedOn w:val="DefaultParagraphFont"/>
    <w:uiPriority w:val="99"/>
    <w:semiHidden/>
    <w:unhideWhenUsed/>
    <w:rsid w:val="003D2CD0"/>
    <w:rPr>
      <w:color w:val="954F72" w:themeColor="followedHyperlink"/>
      <w:u w:val="single"/>
    </w:rPr>
  </w:style>
  <w:style w:type="character" w:styleId="UnresolvedMention">
    <w:name w:val="Unresolved Mention"/>
    <w:basedOn w:val="DefaultParagraphFont"/>
    <w:uiPriority w:val="99"/>
    <w:semiHidden/>
    <w:unhideWhenUsed/>
    <w:rsid w:val="003D2C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t&amp;rct=j&amp;q=&amp;esrc=s&amp;source=web&amp;cd=&amp;ved=2ahUKEwjQ5deewNOAAxUIkYkEHdfmB84QFnoECBcQAQ&amp;url=https%3A%2F%2Fsmartirb.org%2Fassets%2Ffiles%2FSMART_IRB_SOP-090816.pdf&amp;usg=AOvVaw1Lb9EoKKDmtaMkl3GRWZ_P&amp;opi=89978449" TargetMode="External"/><Relationship Id="rId3" Type="http://schemas.openxmlformats.org/officeDocument/2006/relationships/settings" Target="settings.xml"/><Relationship Id="rId7" Type="http://schemas.openxmlformats.org/officeDocument/2006/relationships/hyperlink" Target="http://grants.nih.gov/grants/guide/notice-files/NOT-OD-16-094.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IRBreliance@bsd.uchicago.edu" TargetMode="External"/><Relationship Id="rId1" Type="http://schemas.openxmlformats.org/officeDocument/2006/relationships/hyperlink" Target="mailto:IRBreliance@bsd.uchicag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736</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Harvard University</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Benoit, Laura</dc:creator>
  <cp:lastModifiedBy>Jeremy Lavigne</cp:lastModifiedBy>
  <cp:revision>9</cp:revision>
  <dcterms:created xsi:type="dcterms:W3CDTF">2023-07-25T20:31:00Z</dcterms:created>
  <dcterms:modified xsi:type="dcterms:W3CDTF">2023-08-28T20:58:00Z</dcterms:modified>
</cp:coreProperties>
</file>