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DFB16" w14:textId="2FDE9313" w:rsidR="00EE206E" w:rsidRPr="00EE206E" w:rsidRDefault="00EE206E" w:rsidP="00344D40">
      <w:pPr>
        <w:pStyle w:val="ListParagraph"/>
        <w:numPr>
          <w:ilvl w:val="0"/>
          <w:numId w:val="6"/>
        </w:numPr>
      </w:pPr>
      <w:r w:rsidRPr="00EE206E">
        <w:t xml:space="preserve">Continuing review </w:t>
      </w:r>
      <w:r w:rsidR="00F169A8">
        <w:t xml:space="preserve">(CR) </w:t>
      </w:r>
      <w:r w:rsidRPr="00EE206E">
        <w:t xml:space="preserve">must take place at a convened meeting at which a majority of the IRB members are present </w:t>
      </w:r>
      <w:r w:rsidRPr="00DF1C94">
        <w:rPr>
          <w:b/>
          <w:bCs/>
          <w:u w:val="single"/>
        </w:rPr>
        <w:t>unless</w:t>
      </w:r>
      <w:r w:rsidRPr="00EE206E">
        <w:t xml:space="preserve"> the research qualifies for review under an expedited review procedure (</w:t>
      </w:r>
      <w:r w:rsidRPr="00EE4EAC">
        <w:rPr>
          <w:b/>
          <w:color w:val="2E74B5" w:themeColor="accent5" w:themeShade="BF"/>
        </w:rPr>
        <w:t>45 CFR 46.108(b)</w:t>
      </w:r>
      <w:r w:rsidRPr="00EE206E">
        <w:t>)</w:t>
      </w:r>
      <w:r w:rsidR="00344D40">
        <w:t>.</w:t>
      </w:r>
    </w:p>
    <w:p w14:paraId="020D3882" w14:textId="4B7291EF" w:rsidR="00EE206E" w:rsidRDefault="00EE206E" w:rsidP="00344D40">
      <w:pPr>
        <w:pStyle w:val="ListParagraph"/>
        <w:numPr>
          <w:ilvl w:val="0"/>
          <w:numId w:val="6"/>
        </w:numPr>
      </w:pPr>
      <w:r w:rsidRPr="00EE206E">
        <w:t>IRBs may use an expedited review procedure to conduct continu</w:t>
      </w:r>
      <w:r w:rsidR="000B7EF9">
        <w:t xml:space="preserve">ing review of research </w:t>
      </w:r>
      <w:r w:rsidRPr="00EE206E">
        <w:t>that</w:t>
      </w:r>
      <w:r>
        <w:t xml:space="preserve">: </w:t>
      </w:r>
    </w:p>
    <w:p w14:paraId="2F407737" w14:textId="05556D65" w:rsidR="00EE206E" w:rsidRDefault="00EE206E" w:rsidP="00344D40">
      <w:pPr>
        <w:pStyle w:val="ListParagraph"/>
        <w:numPr>
          <w:ilvl w:val="1"/>
          <w:numId w:val="6"/>
        </w:numPr>
      </w:pPr>
      <w:r>
        <w:t>I</w:t>
      </w:r>
      <w:r w:rsidRPr="00EE206E">
        <w:t>nvolve</w:t>
      </w:r>
      <w:r w:rsidR="000B7EF9">
        <w:t>s</w:t>
      </w:r>
      <w:r w:rsidRPr="00EE206E">
        <w:t xml:space="preserve"> only procedures described in one or more of the nine categories of </w:t>
      </w:r>
      <w:proofErr w:type="spellStart"/>
      <w:r>
        <w:t>expeditable</w:t>
      </w:r>
      <w:proofErr w:type="spellEnd"/>
      <w:r>
        <w:t xml:space="preserve"> </w:t>
      </w:r>
      <w:r w:rsidRPr="00EE206E">
        <w:t>research activities</w:t>
      </w:r>
      <w:r>
        <w:t xml:space="preserve"> (see </w:t>
      </w:r>
      <w:hyperlink r:id="rId7" w:history="1">
        <w:r w:rsidR="00244D04" w:rsidRPr="00244D04">
          <w:rPr>
            <w:rStyle w:val="Hyperlink"/>
          </w:rPr>
          <w:t>OHRP Continuing Review Guidance 2010</w:t>
        </w:r>
      </w:hyperlink>
      <w:r>
        <w:t>); and</w:t>
      </w:r>
    </w:p>
    <w:p w14:paraId="2D5957C7" w14:textId="7829543C" w:rsidR="00EE206E" w:rsidRPr="00EE206E" w:rsidRDefault="00A91C9F" w:rsidP="00344D40">
      <w:pPr>
        <w:pStyle w:val="ListParagraph"/>
        <w:numPr>
          <w:ilvl w:val="1"/>
          <w:numId w:val="6"/>
        </w:numPr>
      </w:pPr>
      <w:r>
        <w:t>Currently i</w:t>
      </w:r>
      <w:r w:rsidR="00EE206E" w:rsidRPr="00EE206E">
        <w:t>nvolve</w:t>
      </w:r>
      <w:r w:rsidR="000B7EF9">
        <w:t>s</w:t>
      </w:r>
      <w:r w:rsidR="00EE206E" w:rsidRPr="00EE206E">
        <w:t xml:space="preserve"> no more than </w:t>
      </w:r>
      <w:r w:rsidR="00EE206E" w:rsidRPr="00DF1C94">
        <w:rPr>
          <w:b/>
          <w:bCs/>
          <w:color w:val="70AD47" w:themeColor="accent6"/>
        </w:rPr>
        <w:t>minimal risk</w:t>
      </w:r>
      <w:r w:rsidR="000A5FE9">
        <w:rPr>
          <w:rStyle w:val="FootnoteReference"/>
          <w:b/>
          <w:bCs/>
          <w:color w:val="70AD47" w:themeColor="accent6"/>
        </w:rPr>
        <w:footnoteReference w:id="1"/>
      </w:r>
      <w:r w:rsidR="00DF1C94">
        <w:rPr>
          <w:b/>
          <w:bCs/>
          <w:color w:val="70AD47" w:themeColor="accent6"/>
        </w:rPr>
        <w:t xml:space="preserve"> </w:t>
      </w:r>
      <w:r w:rsidR="00EE206E" w:rsidRPr="00EE206E">
        <w:t xml:space="preserve">to the subjects </w:t>
      </w:r>
      <w:r w:rsidR="00EE206E" w:rsidRPr="00EE4EAC">
        <w:t>(</w:t>
      </w:r>
      <w:r w:rsidR="00EE206E" w:rsidRPr="00EE4EAC">
        <w:rPr>
          <w:b/>
          <w:color w:val="2E74B5" w:themeColor="accent5" w:themeShade="BF"/>
        </w:rPr>
        <w:t>45 CFR 46.110(b)</w:t>
      </w:r>
      <w:r w:rsidR="00EE206E" w:rsidRPr="00EE206E">
        <w:t>)</w:t>
      </w:r>
    </w:p>
    <w:p w14:paraId="1AFB8DF2" w14:textId="42DC9A11" w:rsidR="00344D40" w:rsidRDefault="00A91C9F" w:rsidP="00171D24">
      <w:pPr>
        <w:pStyle w:val="Heading2"/>
      </w:pPr>
      <w:r>
        <w:rPr>
          <w:u w:val="single"/>
        </w:rPr>
        <w:t xml:space="preserve">Decision </w:t>
      </w:r>
      <w:r w:rsidR="00D870D2">
        <w:rPr>
          <w:u w:val="single"/>
        </w:rPr>
        <w:t>Process</w:t>
      </w:r>
    </w:p>
    <w:p w14:paraId="3EE80221" w14:textId="055C695D" w:rsidR="006E28D6" w:rsidRDefault="006E28D6" w:rsidP="00E014B1">
      <w:pPr>
        <w:pStyle w:val="ListParagraph"/>
        <w:numPr>
          <w:ilvl w:val="0"/>
          <w:numId w:val="5"/>
        </w:numPr>
      </w:pPr>
      <w:r>
        <w:t>Was the stu</w:t>
      </w:r>
      <w:r w:rsidR="00A91C9F">
        <w:t xml:space="preserve">dy originally </w:t>
      </w:r>
      <w:r w:rsidR="00A77A05">
        <w:t>approved under an expedite</w:t>
      </w:r>
      <w:r w:rsidR="006C4B3E">
        <w:t>d review procedure</w:t>
      </w:r>
      <w:r>
        <w:t>?</w:t>
      </w:r>
    </w:p>
    <w:p w14:paraId="16702625" w14:textId="05BCFE5F" w:rsidR="006E28D6" w:rsidRDefault="006E28D6" w:rsidP="00E014B1">
      <w:pPr>
        <w:pStyle w:val="ListParagraph"/>
        <w:numPr>
          <w:ilvl w:val="1"/>
          <w:numId w:val="5"/>
        </w:numPr>
      </w:pPr>
      <w:r>
        <w:t>Yes</w:t>
      </w:r>
    </w:p>
    <w:p w14:paraId="57690EDE" w14:textId="4078DDCB" w:rsidR="006E28D6" w:rsidRDefault="00A44BBC" w:rsidP="000B7EF9">
      <w:pPr>
        <w:pStyle w:val="ListParagraph"/>
        <w:numPr>
          <w:ilvl w:val="2"/>
          <w:numId w:val="5"/>
        </w:numPr>
        <w:ind w:left="1440"/>
      </w:pPr>
      <w:r>
        <w:t>Have any additional risks been identified</w:t>
      </w:r>
      <w:r w:rsidR="00A91C9F">
        <w:t xml:space="preserve"> and/or has the resea</w:t>
      </w:r>
      <w:bookmarkStart w:id="0" w:name="_GoBack"/>
      <w:bookmarkEnd w:id="0"/>
      <w:r w:rsidR="00A91C9F">
        <w:t>rch changed such that it no longer falls under expedite categories 1-7</w:t>
      </w:r>
      <w:r w:rsidR="00D24D78">
        <w:t>?</w:t>
      </w:r>
    </w:p>
    <w:p w14:paraId="13019AAA" w14:textId="42ED3A0B" w:rsidR="00D24D78" w:rsidRDefault="00D24D78" w:rsidP="000B7EF9">
      <w:pPr>
        <w:pStyle w:val="ListParagraph"/>
        <w:numPr>
          <w:ilvl w:val="3"/>
          <w:numId w:val="5"/>
        </w:numPr>
        <w:ind w:left="1800"/>
      </w:pPr>
      <w:r>
        <w:t xml:space="preserve">No. </w:t>
      </w:r>
      <w:r w:rsidR="00F169A8">
        <w:t>CR can be expedited.</w:t>
      </w:r>
    </w:p>
    <w:p w14:paraId="04CA6B45" w14:textId="6B547B10" w:rsidR="00D24D78" w:rsidRDefault="00D24D78" w:rsidP="000B7EF9">
      <w:pPr>
        <w:pStyle w:val="ListParagraph"/>
        <w:numPr>
          <w:ilvl w:val="3"/>
          <w:numId w:val="5"/>
        </w:numPr>
        <w:ind w:left="1800"/>
      </w:pPr>
      <w:r>
        <w:t>Yes.</w:t>
      </w:r>
      <w:r w:rsidR="00DF1C94">
        <w:t xml:space="preserve"> </w:t>
      </w:r>
      <w:r w:rsidR="00D24DD3">
        <w:t>CR cannot be expedited</w:t>
      </w:r>
      <w:r w:rsidR="0088661D">
        <w:t xml:space="preserve"> under categories 1-7</w:t>
      </w:r>
      <w:r>
        <w:t xml:space="preserve">. </w:t>
      </w:r>
    </w:p>
    <w:p w14:paraId="7E47FD9D" w14:textId="71D36FFE" w:rsidR="006E28D6" w:rsidRDefault="006E28D6" w:rsidP="00E014B1">
      <w:pPr>
        <w:pStyle w:val="ListParagraph"/>
        <w:numPr>
          <w:ilvl w:val="1"/>
          <w:numId w:val="5"/>
        </w:numPr>
      </w:pPr>
      <w:r>
        <w:t>No</w:t>
      </w:r>
    </w:p>
    <w:p w14:paraId="2C27D3AF" w14:textId="0BCAE653" w:rsidR="00D470C7" w:rsidRDefault="00F169A8" w:rsidP="000B7EF9">
      <w:pPr>
        <w:pStyle w:val="ListParagraph"/>
        <w:numPr>
          <w:ilvl w:val="2"/>
          <w:numId w:val="5"/>
        </w:numPr>
        <w:ind w:left="1440"/>
      </w:pPr>
      <w:r>
        <w:t>CR cannot be expedited</w:t>
      </w:r>
      <w:r w:rsidR="00413F9D">
        <w:t xml:space="preserve"> unless the study </w:t>
      </w:r>
      <w:r w:rsidR="00D24DD3">
        <w:t>falls into one of the categories below</w:t>
      </w:r>
      <w:r w:rsidR="00413F9D">
        <w:t>:</w:t>
      </w:r>
    </w:p>
    <w:p w14:paraId="5AF0E796" w14:textId="02194CC4" w:rsidR="00060BDF" w:rsidRDefault="00DE4E11" w:rsidP="000B7EF9">
      <w:pPr>
        <w:pStyle w:val="ListParagraph"/>
        <w:numPr>
          <w:ilvl w:val="3"/>
          <w:numId w:val="5"/>
        </w:numPr>
        <w:ind w:left="1800"/>
      </w:pPr>
      <w:r w:rsidRPr="00EE4EAC">
        <w:rPr>
          <w:b/>
          <w:color w:val="2E74B5" w:themeColor="accent5" w:themeShade="BF"/>
        </w:rPr>
        <w:t>Category 8(a)</w:t>
      </w:r>
      <w:r>
        <w:t xml:space="preserve">: </w:t>
      </w:r>
      <w:r w:rsidR="00413F9D">
        <w:t>E</w:t>
      </w:r>
      <w:r w:rsidR="00060BDF">
        <w:t xml:space="preserve">nrollment </w:t>
      </w:r>
      <w:r w:rsidR="00D10667">
        <w:t xml:space="preserve">permanently </w:t>
      </w:r>
      <w:r w:rsidR="00060BDF">
        <w:t xml:space="preserve">closed, all subjects have completed </w:t>
      </w:r>
      <w:r w:rsidR="00D10667">
        <w:t xml:space="preserve">all </w:t>
      </w:r>
      <w:r w:rsidR="00060BDF">
        <w:t xml:space="preserve">research related interventions and the study remains open only for </w:t>
      </w:r>
      <w:r w:rsidR="00060BDF" w:rsidRPr="000A5FE9">
        <w:rPr>
          <w:b/>
          <w:bCs/>
          <w:color w:val="70AD47" w:themeColor="accent6"/>
        </w:rPr>
        <w:t>long-term follow-up</w:t>
      </w:r>
      <w:r w:rsidR="000A5FE9">
        <w:rPr>
          <w:rStyle w:val="FootnoteReference"/>
          <w:b/>
          <w:bCs/>
          <w:color w:val="70AD47" w:themeColor="accent6"/>
        </w:rPr>
        <w:footnoteReference w:id="2"/>
      </w:r>
      <w:r w:rsidR="00413F9D">
        <w:t>.</w:t>
      </w:r>
      <w:r w:rsidR="00B21489">
        <w:t xml:space="preserve"> </w:t>
      </w:r>
      <w:r w:rsidR="000A5FE9" w:rsidRPr="000A5FE9">
        <w:t>If ANY research procedures are still ongoing, the study does not qualify for expedited review under this category.</w:t>
      </w:r>
    </w:p>
    <w:p w14:paraId="0CCFCC4E" w14:textId="2FBAB1E7" w:rsidR="000B7EF9" w:rsidRPr="000B7EF9" w:rsidRDefault="000B7EF9" w:rsidP="000B7EF9">
      <w:pPr>
        <w:pStyle w:val="ListParagraph"/>
        <w:numPr>
          <w:ilvl w:val="3"/>
          <w:numId w:val="5"/>
        </w:numPr>
        <w:ind w:left="1800"/>
      </w:pPr>
      <w:r>
        <w:rPr>
          <w:b/>
          <w:color w:val="2E74B5" w:themeColor="accent5" w:themeShade="BF"/>
        </w:rPr>
        <w:t>Category 8(b)</w:t>
      </w:r>
      <w:r w:rsidR="00691570">
        <w:t>: N</w:t>
      </w:r>
      <w:r w:rsidR="00691570" w:rsidRPr="00691570">
        <w:t>o subjects have been enrolled and no additional risks have been identified</w:t>
      </w:r>
      <w:r w:rsidR="00516E14">
        <w:t xml:space="preserve">. </w:t>
      </w:r>
      <w:r w:rsidR="00F169A8" w:rsidRPr="00F169A8">
        <w:t>E.g., a study awaiting site initiation visit &amp; sponsor sign off to begin.</w:t>
      </w:r>
    </w:p>
    <w:p w14:paraId="6E8368BE" w14:textId="38DF4035" w:rsidR="00BC28CD" w:rsidRDefault="00DE4E11" w:rsidP="000B7EF9">
      <w:pPr>
        <w:pStyle w:val="ListParagraph"/>
        <w:numPr>
          <w:ilvl w:val="3"/>
          <w:numId w:val="5"/>
        </w:numPr>
        <w:ind w:left="1800"/>
      </w:pPr>
      <w:r w:rsidRPr="00EE4EAC">
        <w:rPr>
          <w:b/>
          <w:color w:val="2E74B5" w:themeColor="accent5" w:themeShade="BF"/>
        </w:rPr>
        <w:t>Category 8(c)</w:t>
      </w:r>
      <w:bookmarkStart w:id="1" w:name="_Hlk153524664"/>
      <w:r>
        <w:t xml:space="preserve">: </w:t>
      </w:r>
      <w:r w:rsidR="00413F9D">
        <w:t>E</w:t>
      </w:r>
      <w:r w:rsidR="00BC28CD">
        <w:t xml:space="preserve">nrollment </w:t>
      </w:r>
      <w:bookmarkEnd w:id="1"/>
      <w:r w:rsidR="00D10667">
        <w:t xml:space="preserve">permanently </w:t>
      </w:r>
      <w:r w:rsidR="00BC28CD">
        <w:t xml:space="preserve">closed, all subjects have completed </w:t>
      </w:r>
      <w:r w:rsidR="00A91C9F">
        <w:t xml:space="preserve">all </w:t>
      </w:r>
      <w:r w:rsidR="00BC28CD">
        <w:t>research related interventions and the study remains open only for data analysis</w:t>
      </w:r>
      <w:r w:rsidR="00413F9D">
        <w:t>.</w:t>
      </w:r>
      <w:r w:rsidR="00B21489">
        <w:t xml:space="preserve"> </w:t>
      </w:r>
    </w:p>
    <w:p w14:paraId="47832E8B" w14:textId="2FFA8579" w:rsidR="00DE4E11" w:rsidRDefault="000A5FE9" w:rsidP="000B7EF9">
      <w:pPr>
        <w:pStyle w:val="ListParagraph"/>
        <w:numPr>
          <w:ilvl w:val="4"/>
          <w:numId w:val="5"/>
        </w:numPr>
        <w:ind w:left="2160"/>
      </w:pPr>
      <w:r>
        <w:t>As</w:t>
      </w:r>
      <w:r w:rsidR="00923F72" w:rsidRPr="00923F72">
        <w:t xml:space="preserve"> long as a study continues to involve use, study, or analysis of identifiable private information by the investigators, the research continues to involve human subjects and must undergo continuing re</w:t>
      </w:r>
      <w:r w:rsidR="00A91C9F">
        <w:t>view by an IRB, but the review may be expedited</w:t>
      </w:r>
      <w:r w:rsidR="00923F72" w:rsidRPr="00923F72">
        <w:t xml:space="preserve"> (</w:t>
      </w:r>
      <w:bookmarkStart w:id="2" w:name="_Hlk153530969"/>
      <w:r w:rsidR="00923F72" w:rsidRPr="00EE4EAC">
        <w:rPr>
          <w:b/>
          <w:color w:val="2E74B5" w:themeColor="accent5" w:themeShade="BF"/>
        </w:rPr>
        <w:t>45 CFR 46.</w:t>
      </w:r>
      <w:bookmarkEnd w:id="2"/>
      <w:r w:rsidR="00923F72" w:rsidRPr="00EE4EAC">
        <w:rPr>
          <w:b/>
          <w:color w:val="2E74B5" w:themeColor="accent5" w:themeShade="BF"/>
        </w:rPr>
        <w:t>109(e)</w:t>
      </w:r>
      <w:r w:rsidR="00923F72" w:rsidRPr="00923F72">
        <w:t>)</w:t>
      </w:r>
      <w:r w:rsidR="00EA1F02">
        <w:t>.</w:t>
      </w:r>
    </w:p>
    <w:p w14:paraId="677C8026" w14:textId="162FEC26" w:rsidR="005D6A9D" w:rsidRDefault="005D6A9D" w:rsidP="000B7EF9">
      <w:pPr>
        <w:pStyle w:val="ListParagraph"/>
        <w:numPr>
          <w:ilvl w:val="4"/>
          <w:numId w:val="5"/>
        </w:numPr>
        <w:ind w:left="2160"/>
      </w:pPr>
      <w:r>
        <w:t xml:space="preserve">If study is only temporarily paused, for example, for interim analysis, this category does not apply. </w:t>
      </w:r>
    </w:p>
    <w:p w14:paraId="213910F7" w14:textId="18B8CAE8" w:rsidR="00D24DD3" w:rsidRPr="00D24DD3" w:rsidRDefault="00DE4E11" w:rsidP="009D7E40">
      <w:pPr>
        <w:pStyle w:val="ListParagraph"/>
        <w:numPr>
          <w:ilvl w:val="3"/>
          <w:numId w:val="5"/>
        </w:numPr>
        <w:ind w:left="1800"/>
      </w:pPr>
      <w:r w:rsidRPr="000B7EF9">
        <w:rPr>
          <w:b/>
          <w:color w:val="2E74B5" w:themeColor="accent5" w:themeShade="BF"/>
        </w:rPr>
        <w:t>Category 9</w:t>
      </w:r>
      <w:r>
        <w:t>: Research is not conducted under IND / IDE, categories 2-8 do not apply, and the convened Committee has previously determined that the study involves no greater than minimal risk and no additional risks have been identified.</w:t>
      </w:r>
      <w:r w:rsidR="00F275D9">
        <w:t xml:space="preserve"> </w:t>
      </w:r>
      <w:r w:rsidR="00F169A8" w:rsidRPr="00F169A8">
        <w:t>E.g., study previously went full board for risk determination and was found to be minimal risk.</w:t>
      </w:r>
    </w:p>
    <w:sectPr w:rsidR="00D24DD3" w:rsidRPr="00D24DD3" w:rsidSect="000B7EF9">
      <w:headerReference w:type="default" r:id="rId8"/>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EF1D0" w14:textId="77777777" w:rsidR="00BE3C78" w:rsidRDefault="00BE3C78" w:rsidP="00EE206E">
      <w:pPr>
        <w:spacing w:after="0" w:line="240" w:lineRule="auto"/>
      </w:pPr>
      <w:r>
        <w:separator/>
      </w:r>
    </w:p>
  </w:endnote>
  <w:endnote w:type="continuationSeparator" w:id="0">
    <w:p w14:paraId="0D173381" w14:textId="77777777" w:rsidR="00BE3C78" w:rsidRDefault="00BE3C78" w:rsidP="00EE2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4633D" w14:textId="77777777" w:rsidR="00BE3C78" w:rsidRDefault="00BE3C78" w:rsidP="00EE206E">
      <w:pPr>
        <w:spacing w:after="0" w:line="240" w:lineRule="auto"/>
      </w:pPr>
      <w:r>
        <w:separator/>
      </w:r>
    </w:p>
  </w:footnote>
  <w:footnote w:type="continuationSeparator" w:id="0">
    <w:p w14:paraId="55A8C616" w14:textId="77777777" w:rsidR="00BE3C78" w:rsidRDefault="00BE3C78" w:rsidP="00EE206E">
      <w:pPr>
        <w:spacing w:after="0" w:line="240" w:lineRule="auto"/>
      </w:pPr>
      <w:r>
        <w:continuationSeparator/>
      </w:r>
    </w:p>
  </w:footnote>
  <w:footnote w:id="1">
    <w:p w14:paraId="22CA19BD" w14:textId="77777777" w:rsidR="000A5FE9" w:rsidRDefault="000A5FE9" w:rsidP="000A5FE9">
      <w:pPr>
        <w:pStyle w:val="FootnoteText"/>
      </w:pPr>
      <w:r>
        <w:rPr>
          <w:rStyle w:val="FootnoteReference"/>
        </w:rPr>
        <w:footnoteRef/>
      </w:r>
      <w:r>
        <w:t xml:space="preserve"> </w:t>
      </w:r>
      <w:r w:rsidRPr="000A5FE9">
        <w:rPr>
          <w:b/>
          <w:bCs/>
          <w:color w:val="70AD47" w:themeColor="accent6"/>
        </w:rPr>
        <w:t>Minimal risk</w:t>
      </w:r>
      <w:r w:rsidRPr="000A5FE9">
        <w:rPr>
          <w:color w:val="70AD47" w:themeColor="accent6"/>
        </w:rPr>
        <w:t xml:space="preserve"> </w:t>
      </w:r>
      <w:r>
        <w:t>means that the probability and magnitude of harm or discomfort anticipated in the research are not greater in and of themselves than those ordinarily encountered in daily life or during the performance of routine physical or psychological examinations or tests. (45 CFR 46.102(j))</w:t>
      </w:r>
    </w:p>
    <w:p w14:paraId="64917C87" w14:textId="5C4FF28F" w:rsidR="000A5FE9" w:rsidRDefault="000A5FE9" w:rsidP="000A5FE9">
      <w:pPr>
        <w:pStyle w:val="FootnoteText"/>
      </w:pPr>
    </w:p>
  </w:footnote>
  <w:footnote w:id="2">
    <w:p w14:paraId="1FA2B580" w14:textId="5793AA44" w:rsidR="000A5FE9" w:rsidRDefault="000A5FE9">
      <w:pPr>
        <w:pStyle w:val="FootnoteText"/>
      </w:pPr>
      <w:r>
        <w:rPr>
          <w:rStyle w:val="FootnoteReference"/>
        </w:rPr>
        <w:footnoteRef/>
      </w:r>
      <w:r>
        <w:t xml:space="preserve"> </w:t>
      </w:r>
      <w:r w:rsidRPr="000A5FE9">
        <w:rPr>
          <w:b/>
          <w:bCs/>
          <w:color w:val="70AD47" w:themeColor="accent6"/>
        </w:rPr>
        <w:t>Long-term follow-up</w:t>
      </w:r>
      <w:r w:rsidRPr="000A5FE9">
        <w:rPr>
          <w:color w:val="70AD47" w:themeColor="accent6"/>
        </w:rPr>
        <w:t xml:space="preserve"> </w:t>
      </w:r>
      <w:r w:rsidRPr="000A5FE9">
        <w:t>is the collection of follow-up data from procedures or interventions that would have been done as part of routine clinical practice to monitor a subject for disease progression or recurrence, regardless of whether the procedures or interventions are described in the research protocol. Long-term follow-up excludes: research interventions that would not have been performed if the subject was not in the study, even if the research interventions involve no more than minimal risk, such as a survey or blood draw.</w:t>
      </w:r>
    </w:p>
    <w:p w14:paraId="703131D0" w14:textId="77777777" w:rsidR="000A5FE9" w:rsidRDefault="000A5FE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8BA99" w14:textId="592E090D" w:rsidR="00EE206E" w:rsidRDefault="00D24DD3" w:rsidP="00DF1C94">
    <w:pPr>
      <w:pStyle w:val="Heading1"/>
      <w:jc w:val="center"/>
    </w:pPr>
    <w:r>
      <w:rPr>
        <w:rFonts w:eastAsia="+mn-ea"/>
      </w:rPr>
      <w:t xml:space="preserve">Can a Continuing Review be </w:t>
    </w:r>
    <w:bookmarkStart w:id="3" w:name="_Hlk153530890"/>
    <w:r>
      <w:rPr>
        <w:rFonts w:eastAsia="+mn-ea"/>
      </w:rPr>
      <w:t>Expedited</w:t>
    </w:r>
    <w:bookmarkEnd w:id="3"/>
    <w:r>
      <w:rPr>
        <w:rFonts w:eastAsia="+mn-ea"/>
      </w:rPr>
      <w:t>?</w:t>
    </w:r>
  </w:p>
  <w:p w14:paraId="4D3ABA28" w14:textId="77777777" w:rsidR="00EE206E" w:rsidRDefault="00EE20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9570F"/>
    <w:multiLevelType w:val="hybridMultilevel"/>
    <w:tmpl w:val="2318B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985C58"/>
    <w:multiLevelType w:val="hybridMultilevel"/>
    <w:tmpl w:val="EB3869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6525687"/>
    <w:multiLevelType w:val="hybridMultilevel"/>
    <w:tmpl w:val="7FF6849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B313E8C"/>
    <w:multiLevelType w:val="hybridMultilevel"/>
    <w:tmpl w:val="55EEF45A"/>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04090001">
      <w:start w:val="1"/>
      <w:numFmt w:val="bullet"/>
      <w:lvlText w:val=""/>
      <w:lvlJc w:val="left"/>
      <w:pPr>
        <w:ind w:left="6660" w:hanging="360"/>
      </w:pPr>
      <w:rPr>
        <w:rFonts w:ascii="Symbol" w:hAnsi="Symbol" w:hint="default"/>
      </w:rPr>
    </w:lvl>
  </w:abstractNum>
  <w:abstractNum w:abstractNumId="4" w15:restartNumberingAfterBreak="0">
    <w:nsid w:val="797005F9"/>
    <w:multiLevelType w:val="hybridMultilevel"/>
    <w:tmpl w:val="3CE488F8"/>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04090001">
      <w:start w:val="1"/>
      <w:numFmt w:val="bullet"/>
      <w:lvlText w:val=""/>
      <w:lvlJc w:val="left"/>
      <w:pPr>
        <w:ind w:left="6660" w:hanging="360"/>
      </w:pPr>
      <w:rPr>
        <w:rFonts w:ascii="Symbol" w:hAnsi="Symbol" w:hint="default"/>
      </w:rPr>
    </w:lvl>
  </w:abstractNum>
  <w:abstractNum w:abstractNumId="5" w15:restartNumberingAfterBreak="0">
    <w:nsid w:val="7D7E0C46"/>
    <w:multiLevelType w:val="hybridMultilevel"/>
    <w:tmpl w:val="C8E8E2D4"/>
    <w:lvl w:ilvl="0" w:tplc="D1F8C282">
      <w:start w:val="1"/>
      <w:numFmt w:val="decimal"/>
      <w:lvlText w:val="%1."/>
      <w:lvlJc w:val="left"/>
      <w:pPr>
        <w:ind w:left="360" w:hanging="360"/>
      </w:pPr>
      <w:rPr>
        <w:b/>
      </w:rPr>
    </w:lvl>
    <w:lvl w:ilvl="1" w:tplc="F8D48F9E">
      <w:start w:val="1"/>
      <w:numFmt w:val="lowerLetter"/>
      <w:lvlText w:val="%2."/>
      <w:lvlJc w:val="left"/>
      <w:pPr>
        <w:ind w:left="1080" w:hanging="360"/>
      </w:pPr>
      <w:rPr>
        <w:b/>
      </w:rPr>
    </w:lvl>
    <w:lvl w:ilvl="2" w:tplc="96E4285A">
      <w:start w:val="1"/>
      <w:numFmt w:val="lowerRoman"/>
      <w:lvlText w:val="%3."/>
      <w:lvlJc w:val="right"/>
      <w:pPr>
        <w:ind w:left="1800" w:hanging="180"/>
      </w:pPr>
      <w:rPr>
        <w:b/>
      </w:rPr>
    </w:lvl>
    <w:lvl w:ilvl="3" w:tplc="CEBA68FE">
      <w:start w:val="1"/>
      <w:numFmt w:val="decimal"/>
      <w:lvlText w:val="%4."/>
      <w:lvlJc w:val="left"/>
      <w:pPr>
        <w:ind w:left="2520" w:hanging="360"/>
      </w:pPr>
      <w:rPr>
        <w:b/>
      </w:rPr>
    </w:lvl>
    <w:lvl w:ilvl="4" w:tplc="04090001">
      <w:start w:val="1"/>
      <w:numFmt w:val="bullet"/>
      <w:lvlText w:val=""/>
      <w:lvlJc w:val="left"/>
      <w:pPr>
        <w:ind w:left="3240" w:hanging="360"/>
      </w:pPr>
      <w:rPr>
        <w:rFonts w:ascii="Symbol" w:hAnsi="Symbol" w:hint="default"/>
        <w:b/>
      </w:rPr>
    </w:lvl>
    <w:lvl w:ilvl="5" w:tplc="81089798">
      <w:start w:val="1"/>
      <w:numFmt w:val="lowerRoman"/>
      <w:lvlText w:val="%6."/>
      <w:lvlJc w:val="right"/>
      <w:pPr>
        <w:ind w:left="3960" w:hanging="180"/>
      </w:pPr>
      <w:rPr>
        <w:b/>
      </w:r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05A"/>
    <w:rsid w:val="00000774"/>
    <w:rsid w:val="00022F5A"/>
    <w:rsid w:val="0003666A"/>
    <w:rsid w:val="00052242"/>
    <w:rsid w:val="00053B74"/>
    <w:rsid w:val="00060BDF"/>
    <w:rsid w:val="000A5FE9"/>
    <w:rsid w:val="000A7B6A"/>
    <w:rsid w:val="000B7971"/>
    <w:rsid w:val="000B7EF9"/>
    <w:rsid w:val="000C2183"/>
    <w:rsid w:val="000D0518"/>
    <w:rsid w:val="000D205A"/>
    <w:rsid w:val="00110BC2"/>
    <w:rsid w:val="00144C48"/>
    <w:rsid w:val="00153A02"/>
    <w:rsid w:val="00165668"/>
    <w:rsid w:val="00171D24"/>
    <w:rsid w:val="00185A2F"/>
    <w:rsid w:val="001D675F"/>
    <w:rsid w:val="001E4473"/>
    <w:rsid w:val="0020688B"/>
    <w:rsid w:val="00244D04"/>
    <w:rsid w:val="0025382D"/>
    <w:rsid w:val="00275709"/>
    <w:rsid w:val="002812C5"/>
    <w:rsid w:val="002A245A"/>
    <w:rsid w:val="002F4CC0"/>
    <w:rsid w:val="00344D40"/>
    <w:rsid w:val="00356BF8"/>
    <w:rsid w:val="00360589"/>
    <w:rsid w:val="0038542E"/>
    <w:rsid w:val="00386A57"/>
    <w:rsid w:val="00397051"/>
    <w:rsid w:val="003D6346"/>
    <w:rsid w:val="003E53A7"/>
    <w:rsid w:val="0040271E"/>
    <w:rsid w:val="00413F9D"/>
    <w:rsid w:val="0042152E"/>
    <w:rsid w:val="00431865"/>
    <w:rsid w:val="004329B5"/>
    <w:rsid w:val="00453DE1"/>
    <w:rsid w:val="00467509"/>
    <w:rsid w:val="0049126E"/>
    <w:rsid w:val="00494519"/>
    <w:rsid w:val="004B61F0"/>
    <w:rsid w:val="004D33EF"/>
    <w:rsid w:val="004F1104"/>
    <w:rsid w:val="004F45C1"/>
    <w:rsid w:val="00516E14"/>
    <w:rsid w:val="00564C96"/>
    <w:rsid w:val="00586D1E"/>
    <w:rsid w:val="005D6A9D"/>
    <w:rsid w:val="006139F2"/>
    <w:rsid w:val="00673D29"/>
    <w:rsid w:val="00690204"/>
    <w:rsid w:val="00691570"/>
    <w:rsid w:val="006C4B3E"/>
    <w:rsid w:val="006E28D6"/>
    <w:rsid w:val="00700C2E"/>
    <w:rsid w:val="00706938"/>
    <w:rsid w:val="0071129F"/>
    <w:rsid w:val="00713BE4"/>
    <w:rsid w:val="00732079"/>
    <w:rsid w:val="00735602"/>
    <w:rsid w:val="0076264C"/>
    <w:rsid w:val="00795B12"/>
    <w:rsid w:val="007D5756"/>
    <w:rsid w:val="00802560"/>
    <w:rsid w:val="00827068"/>
    <w:rsid w:val="008722F7"/>
    <w:rsid w:val="00872AD8"/>
    <w:rsid w:val="008775FE"/>
    <w:rsid w:val="00877C63"/>
    <w:rsid w:val="0088661D"/>
    <w:rsid w:val="00890CE6"/>
    <w:rsid w:val="00897E9E"/>
    <w:rsid w:val="008D7F99"/>
    <w:rsid w:val="009205D0"/>
    <w:rsid w:val="00923F72"/>
    <w:rsid w:val="00924099"/>
    <w:rsid w:val="009450BA"/>
    <w:rsid w:val="009704B8"/>
    <w:rsid w:val="009A12DE"/>
    <w:rsid w:val="009D134B"/>
    <w:rsid w:val="009D2A67"/>
    <w:rsid w:val="009D44B2"/>
    <w:rsid w:val="009D7E40"/>
    <w:rsid w:val="00A1138A"/>
    <w:rsid w:val="00A14D1F"/>
    <w:rsid w:val="00A44BBC"/>
    <w:rsid w:val="00A521AD"/>
    <w:rsid w:val="00A77A05"/>
    <w:rsid w:val="00A91C9F"/>
    <w:rsid w:val="00AB535F"/>
    <w:rsid w:val="00AB697A"/>
    <w:rsid w:val="00AB6B94"/>
    <w:rsid w:val="00AF0448"/>
    <w:rsid w:val="00B05689"/>
    <w:rsid w:val="00B21489"/>
    <w:rsid w:val="00B64066"/>
    <w:rsid w:val="00B65241"/>
    <w:rsid w:val="00B72643"/>
    <w:rsid w:val="00BB6C2C"/>
    <w:rsid w:val="00BC143F"/>
    <w:rsid w:val="00BC28CD"/>
    <w:rsid w:val="00BC43A7"/>
    <w:rsid w:val="00BE3C78"/>
    <w:rsid w:val="00C0300A"/>
    <w:rsid w:val="00C379FB"/>
    <w:rsid w:val="00C54D31"/>
    <w:rsid w:val="00C832AB"/>
    <w:rsid w:val="00CB5CE0"/>
    <w:rsid w:val="00CC0A91"/>
    <w:rsid w:val="00CE7B9E"/>
    <w:rsid w:val="00D10667"/>
    <w:rsid w:val="00D24D78"/>
    <w:rsid w:val="00D24DD3"/>
    <w:rsid w:val="00D36C7A"/>
    <w:rsid w:val="00D470C7"/>
    <w:rsid w:val="00D5089B"/>
    <w:rsid w:val="00D71776"/>
    <w:rsid w:val="00D82047"/>
    <w:rsid w:val="00D870D2"/>
    <w:rsid w:val="00DD1574"/>
    <w:rsid w:val="00DE4E11"/>
    <w:rsid w:val="00DF1882"/>
    <w:rsid w:val="00DF1C94"/>
    <w:rsid w:val="00E014B1"/>
    <w:rsid w:val="00E07158"/>
    <w:rsid w:val="00E30565"/>
    <w:rsid w:val="00E32C38"/>
    <w:rsid w:val="00E60E93"/>
    <w:rsid w:val="00E82497"/>
    <w:rsid w:val="00EA1F02"/>
    <w:rsid w:val="00EB1658"/>
    <w:rsid w:val="00EE206E"/>
    <w:rsid w:val="00EE4EAC"/>
    <w:rsid w:val="00F00620"/>
    <w:rsid w:val="00F0279C"/>
    <w:rsid w:val="00F0665F"/>
    <w:rsid w:val="00F10328"/>
    <w:rsid w:val="00F169A8"/>
    <w:rsid w:val="00F21979"/>
    <w:rsid w:val="00F275D9"/>
    <w:rsid w:val="00F27616"/>
    <w:rsid w:val="00F356D0"/>
    <w:rsid w:val="00F47E2C"/>
    <w:rsid w:val="00F524B5"/>
    <w:rsid w:val="00F9048F"/>
    <w:rsid w:val="00FA1E42"/>
    <w:rsid w:val="00FA4678"/>
    <w:rsid w:val="00FC70A5"/>
    <w:rsid w:val="00FE0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2156FE8"/>
  <w15:chartTrackingRefBased/>
  <w15:docId w15:val="{3690F702-B0F4-4FA7-857B-F9774A84D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44D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71D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56D0"/>
    <w:pPr>
      <w:ind w:left="720"/>
      <w:contextualSpacing/>
    </w:pPr>
  </w:style>
  <w:style w:type="character" w:styleId="CommentReference">
    <w:name w:val="annotation reference"/>
    <w:basedOn w:val="DefaultParagraphFont"/>
    <w:uiPriority w:val="99"/>
    <w:semiHidden/>
    <w:unhideWhenUsed/>
    <w:rsid w:val="00D10667"/>
    <w:rPr>
      <w:sz w:val="16"/>
      <w:szCs w:val="16"/>
    </w:rPr>
  </w:style>
  <w:style w:type="paragraph" w:styleId="CommentText">
    <w:name w:val="annotation text"/>
    <w:basedOn w:val="Normal"/>
    <w:link w:val="CommentTextChar"/>
    <w:uiPriority w:val="99"/>
    <w:unhideWhenUsed/>
    <w:rsid w:val="00D10667"/>
    <w:pPr>
      <w:spacing w:line="240" w:lineRule="auto"/>
    </w:pPr>
    <w:rPr>
      <w:sz w:val="20"/>
      <w:szCs w:val="20"/>
    </w:rPr>
  </w:style>
  <w:style w:type="character" w:customStyle="1" w:styleId="CommentTextChar">
    <w:name w:val="Comment Text Char"/>
    <w:basedOn w:val="DefaultParagraphFont"/>
    <w:link w:val="CommentText"/>
    <w:uiPriority w:val="99"/>
    <w:rsid w:val="00D10667"/>
    <w:rPr>
      <w:sz w:val="20"/>
      <w:szCs w:val="20"/>
    </w:rPr>
  </w:style>
  <w:style w:type="paragraph" w:styleId="CommentSubject">
    <w:name w:val="annotation subject"/>
    <w:basedOn w:val="CommentText"/>
    <w:next w:val="CommentText"/>
    <w:link w:val="CommentSubjectChar"/>
    <w:uiPriority w:val="99"/>
    <w:semiHidden/>
    <w:unhideWhenUsed/>
    <w:rsid w:val="00D10667"/>
    <w:rPr>
      <w:b/>
      <w:bCs/>
    </w:rPr>
  </w:style>
  <w:style w:type="character" w:customStyle="1" w:styleId="CommentSubjectChar">
    <w:name w:val="Comment Subject Char"/>
    <w:basedOn w:val="CommentTextChar"/>
    <w:link w:val="CommentSubject"/>
    <w:uiPriority w:val="99"/>
    <w:semiHidden/>
    <w:rsid w:val="00D10667"/>
    <w:rPr>
      <w:b/>
      <w:bCs/>
      <w:sz w:val="20"/>
      <w:szCs w:val="20"/>
    </w:rPr>
  </w:style>
  <w:style w:type="paragraph" w:styleId="BalloonText">
    <w:name w:val="Balloon Text"/>
    <w:basedOn w:val="Normal"/>
    <w:link w:val="BalloonTextChar"/>
    <w:uiPriority w:val="99"/>
    <w:semiHidden/>
    <w:unhideWhenUsed/>
    <w:rsid w:val="00D106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667"/>
    <w:rPr>
      <w:rFonts w:ascii="Segoe UI" w:hAnsi="Segoe UI" w:cs="Segoe UI"/>
      <w:sz w:val="18"/>
      <w:szCs w:val="18"/>
    </w:rPr>
  </w:style>
  <w:style w:type="paragraph" w:styleId="Revision">
    <w:name w:val="Revision"/>
    <w:hidden/>
    <w:uiPriority w:val="99"/>
    <w:semiHidden/>
    <w:rsid w:val="004D33EF"/>
    <w:pPr>
      <w:spacing w:after="0" w:line="240" w:lineRule="auto"/>
    </w:pPr>
  </w:style>
  <w:style w:type="paragraph" w:styleId="Header">
    <w:name w:val="header"/>
    <w:basedOn w:val="Normal"/>
    <w:link w:val="HeaderChar"/>
    <w:uiPriority w:val="99"/>
    <w:unhideWhenUsed/>
    <w:rsid w:val="00EE20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06E"/>
  </w:style>
  <w:style w:type="paragraph" w:styleId="Footer">
    <w:name w:val="footer"/>
    <w:basedOn w:val="Normal"/>
    <w:link w:val="FooterChar"/>
    <w:uiPriority w:val="99"/>
    <w:unhideWhenUsed/>
    <w:rsid w:val="00EE20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06E"/>
  </w:style>
  <w:style w:type="paragraph" w:styleId="NormalWeb">
    <w:name w:val="Normal (Web)"/>
    <w:basedOn w:val="Normal"/>
    <w:uiPriority w:val="99"/>
    <w:semiHidden/>
    <w:unhideWhenUsed/>
    <w:rsid w:val="00EE20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EE206E"/>
    <w:rPr>
      <w:color w:val="0563C1" w:themeColor="hyperlink"/>
      <w:u w:val="single"/>
    </w:rPr>
  </w:style>
  <w:style w:type="character" w:customStyle="1" w:styleId="UnresolvedMention1">
    <w:name w:val="Unresolved Mention1"/>
    <w:basedOn w:val="DefaultParagraphFont"/>
    <w:uiPriority w:val="99"/>
    <w:semiHidden/>
    <w:unhideWhenUsed/>
    <w:rsid w:val="00EE206E"/>
    <w:rPr>
      <w:color w:val="605E5C"/>
      <w:shd w:val="clear" w:color="auto" w:fill="E1DFDD"/>
    </w:rPr>
  </w:style>
  <w:style w:type="character" w:customStyle="1" w:styleId="Heading1Char">
    <w:name w:val="Heading 1 Char"/>
    <w:basedOn w:val="DefaultParagraphFont"/>
    <w:link w:val="Heading1"/>
    <w:uiPriority w:val="9"/>
    <w:rsid w:val="00344D4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71D24"/>
    <w:rPr>
      <w:rFonts w:asciiTheme="majorHAnsi" w:eastAsiaTheme="majorEastAsia" w:hAnsiTheme="majorHAnsi" w:cstheme="majorBidi"/>
      <w:color w:val="2F5496" w:themeColor="accent1" w:themeShade="BF"/>
      <w:sz w:val="26"/>
      <w:szCs w:val="26"/>
    </w:rPr>
  </w:style>
  <w:style w:type="character" w:customStyle="1" w:styleId="UnresolvedMention">
    <w:name w:val="Unresolved Mention"/>
    <w:basedOn w:val="DefaultParagraphFont"/>
    <w:uiPriority w:val="99"/>
    <w:semiHidden/>
    <w:unhideWhenUsed/>
    <w:rsid w:val="00D24DD3"/>
    <w:rPr>
      <w:color w:val="605E5C"/>
      <w:shd w:val="clear" w:color="auto" w:fill="E1DFDD"/>
    </w:rPr>
  </w:style>
  <w:style w:type="paragraph" w:styleId="FootnoteText">
    <w:name w:val="footnote text"/>
    <w:basedOn w:val="Normal"/>
    <w:link w:val="FootnoteTextChar"/>
    <w:uiPriority w:val="99"/>
    <w:semiHidden/>
    <w:unhideWhenUsed/>
    <w:rsid w:val="00D24D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4DD3"/>
    <w:rPr>
      <w:sz w:val="20"/>
      <w:szCs w:val="20"/>
    </w:rPr>
  </w:style>
  <w:style w:type="character" w:styleId="FootnoteReference">
    <w:name w:val="footnote reference"/>
    <w:basedOn w:val="DefaultParagraphFont"/>
    <w:uiPriority w:val="99"/>
    <w:semiHidden/>
    <w:unhideWhenUsed/>
    <w:rsid w:val="00D24DD3"/>
    <w:rPr>
      <w:vertAlign w:val="superscript"/>
    </w:rPr>
  </w:style>
  <w:style w:type="paragraph" w:styleId="EndnoteText">
    <w:name w:val="endnote text"/>
    <w:basedOn w:val="Normal"/>
    <w:link w:val="EndnoteTextChar"/>
    <w:uiPriority w:val="99"/>
    <w:semiHidden/>
    <w:unhideWhenUsed/>
    <w:rsid w:val="00D24DD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24DD3"/>
    <w:rPr>
      <w:sz w:val="20"/>
      <w:szCs w:val="20"/>
    </w:rPr>
  </w:style>
  <w:style w:type="character" w:styleId="EndnoteReference">
    <w:name w:val="endnote reference"/>
    <w:basedOn w:val="DefaultParagraphFont"/>
    <w:uiPriority w:val="99"/>
    <w:semiHidden/>
    <w:unhideWhenUsed/>
    <w:rsid w:val="00D24D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362138">
      <w:bodyDiv w:val="1"/>
      <w:marLeft w:val="0"/>
      <w:marRight w:val="0"/>
      <w:marTop w:val="0"/>
      <w:marBottom w:val="0"/>
      <w:divBdr>
        <w:top w:val="none" w:sz="0" w:space="0" w:color="auto"/>
        <w:left w:val="none" w:sz="0" w:space="0" w:color="auto"/>
        <w:bottom w:val="none" w:sz="0" w:space="0" w:color="auto"/>
        <w:right w:val="none" w:sz="0" w:space="0" w:color="auto"/>
      </w:divBdr>
    </w:div>
    <w:div w:id="306588644">
      <w:bodyDiv w:val="1"/>
      <w:marLeft w:val="0"/>
      <w:marRight w:val="0"/>
      <w:marTop w:val="0"/>
      <w:marBottom w:val="0"/>
      <w:divBdr>
        <w:top w:val="none" w:sz="0" w:space="0" w:color="auto"/>
        <w:left w:val="none" w:sz="0" w:space="0" w:color="auto"/>
        <w:bottom w:val="none" w:sz="0" w:space="0" w:color="auto"/>
        <w:right w:val="none" w:sz="0" w:space="0" w:color="auto"/>
      </w:divBdr>
    </w:div>
    <w:div w:id="1012686481">
      <w:bodyDiv w:val="1"/>
      <w:marLeft w:val="0"/>
      <w:marRight w:val="0"/>
      <w:marTop w:val="0"/>
      <w:marBottom w:val="0"/>
      <w:divBdr>
        <w:top w:val="none" w:sz="0" w:space="0" w:color="auto"/>
        <w:left w:val="none" w:sz="0" w:space="0" w:color="auto"/>
        <w:bottom w:val="none" w:sz="0" w:space="0" w:color="auto"/>
        <w:right w:val="none" w:sz="0" w:space="0" w:color="auto"/>
      </w:divBdr>
    </w:div>
    <w:div w:id="1649556407">
      <w:bodyDiv w:val="1"/>
      <w:marLeft w:val="0"/>
      <w:marRight w:val="0"/>
      <w:marTop w:val="0"/>
      <w:marBottom w:val="0"/>
      <w:divBdr>
        <w:top w:val="none" w:sz="0" w:space="0" w:color="auto"/>
        <w:left w:val="none" w:sz="0" w:space="0" w:color="auto"/>
        <w:bottom w:val="none" w:sz="0" w:space="0" w:color="auto"/>
        <w:right w:val="none" w:sz="0" w:space="0" w:color="auto"/>
      </w:divBdr>
    </w:div>
    <w:div w:id="1860780034">
      <w:bodyDiv w:val="1"/>
      <w:marLeft w:val="0"/>
      <w:marRight w:val="0"/>
      <w:marTop w:val="0"/>
      <w:marBottom w:val="0"/>
      <w:divBdr>
        <w:top w:val="none" w:sz="0" w:space="0" w:color="auto"/>
        <w:left w:val="none" w:sz="0" w:space="0" w:color="auto"/>
        <w:bottom w:val="none" w:sz="0" w:space="0" w:color="auto"/>
        <w:right w:val="none" w:sz="0" w:space="0" w:color="auto"/>
      </w:divBdr>
      <w:divsChild>
        <w:div w:id="253326420">
          <w:marLeft w:val="0"/>
          <w:marRight w:val="0"/>
          <w:marTop w:val="0"/>
          <w:marBottom w:val="0"/>
          <w:divBdr>
            <w:top w:val="none" w:sz="0" w:space="0" w:color="auto"/>
            <w:left w:val="none" w:sz="0" w:space="0" w:color="auto"/>
            <w:bottom w:val="none" w:sz="0" w:space="0" w:color="auto"/>
            <w:right w:val="none" w:sz="0" w:space="0" w:color="auto"/>
          </w:divBdr>
        </w:div>
      </w:divsChild>
    </w:div>
    <w:div w:id="1976790598">
      <w:bodyDiv w:val="1"/>
      <w:marLeft w:val="0"/>
      <w:marRight w:val="0"/>
      <w:marTop w:val="0"/>
      <w:marBottom w:val="0"/>
      <w:divBdr>
        <w:top w:val="none" w:sz="0" w:space="0" w:color="auto"/>
        <w:left w:val="none" w:sz="0" w:space="0" w:color="auto"/>
        <w:bottom w:val="none" w:sz="0" w:space="0" w:color="auto"/>
        <w:right w:val="none" w:sz="0" w:space="0" w:color="auto"/>
      </w:divBdr>
    </w:div>
    <w:div w:id="197979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hs.gov/ohrp/regulations-and-policy/guidance/guidance-on-continuing-review-2010/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Stouffer</dc:creator>
  <cp:keywords/>
  <dc:description/>
  <cp:lastModifiedBy>Thompson, Nell [BSD] - OCR</cp:lastModifiedBy>
  <cp:revision>10</cp:revision>
  <dcterms:created xsi:type="dcterms:W3CDTF">2023-12-15T16:59:00Z</dcterms:created>
  <dcterms:modified xsi:type="dcterms:W3CDTF">2024-01-10T17:52:00Z</dcterms:modified>
</cp:coreProperties>
</file>